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480" w:lineRule="auto"/>
        <w:jc w:val="left"/>
        <w:rPr>
          <w:rFonts w:ascii="Times New Roman" w:hAnsi="Times New Roman" w:eastAsia="宋体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eastAsia="宋体" w:cs="Times New Roman"/>
          <w:b/>
          <w:bCs/>
          <w:color w:val="000000"/>
          <w:sz w:val="28"/>
          <w:szCs w:val="28"/>
        </w:rPr>
        <w:t>Supplementary Information</w:t>
      </w:r>
    </w:p>
    <w:p>
      <w:pPr>
        <w:adjustRightInd w:val="0"/>
        <w:snapToGrid w:val="0"/>
        <w:spacing w:line="480" w:lineRule="auto"/>
        <w:jc w:val="left"/>
        <w:rPr>
          <w:rFonts w:ascii="Times New Roman" w:hAnsi="Times New Roman" w:eastAsia="宋体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eastAsia="宋体" w:cs="Times New Roman"/>
          <w:b/>
          <w:bCs/>
          <w:color w:val="000000"/>
          <w:sz w:val="28"/>
          <w:szCs w:val="28"/>
        </w:rPr>
        <w:t xml:space="preserve">Bioinspired multifunctional self-sensing </w:t>
      </w:r>
      <w:r>
        <w:rPr>
          <w:rFonts w:hint="eastAsia" w:ascii="Times New Roman" w:hAnsi="Times New Roman" w:eastAsia="宋体" w:cs="Times New Roman"/>
          <w:b/>
          <w:bCs/>
          <w:color w:val="000000"/>
          <w:sz w:val="28"/>
          <w:szCs w:val="28"/>
        </w:rPr>
        <w:t xml:space="preserve">actuated </w:t>
      </w:r>
      <w:r>
        <w:rPr>
          <w:rFonts w:ascii="Times New Roman" w:hAnsi="Times New Roman" w:eastAsia="宋体" w:cs="Times New Roman"/>
          <w:b/>
          <w:bCs/>
          <w:color w:val="000000"/>
          <w:sz w:val="28"/>
          <w:szCs w:val="28"/>
        </w:rPr>
        <w:t>gradient hydrogel for soft-hard robot remote interaction</w:t>
      </w:r>
    </w:p>
    <w:p>
      <w:pPr>
        <w:spacing w:line="480" w:lineRule="auto"/>
        <w:rPr>
          <w:rFonts w:ascii="Times New Roman" w:hAnsi="Times New Roman" w:eastAsia="宋体" w:cs="Times New Roman"/>
          <w:b/>
          <w:color w:val="000000"/>
          <w:sz w:val="20"/>
          <w:szCs w:val="20"/>
        </w:rPr>
      </w:pPr>
      <w:r>
        <w:rPr>
          <w:rFonts w:ascii="Times New Roman" w:hAnsi="Times New Roman" w:eastAsia="宋体" w:cs="Times New Roman"/>
          <w:color w:val="000000"/>
          <w:sz w:val="20"/>
          <w:szCs w:val="20"/>
        </w:rPr>
        <w:t>He Liu</w:t>
      </w:r>
      <w:r>
        <w:rPr>
          <w:rFonts w:ascii="Times New Roman" w:hAnsi="Times New Roman" w:eastAsia="宋体" w:cs="Times New Roman"/>
          <w:color w:val="000000"/>
          <w:sz w:val="20"/>
          <w:szCs w:val="20"/>
          <w:vertAlign w:val="superscript"/>
        </w:rPr>
        <w:t>1</w:t>
      </w:r>
      <w:r>
        <w:rPr>
          <w:rFonts w:ascii="Times New Roman" w:hAnsi="Times New Roman" w:eastAsia="宋体" w:cs="Times New Roman"/>
          <w:color w:val="000000"/>
          <w:sz w:val="20"/>
          <w:szCs w:val="20"/>
        </w:rPr>
        <w:t>, Haoxiang Chu</w:t>
      </w:r>
      <w:r>
        <w:rPr>
          <w:rFonts w:ascii="Times New Roman" w:hAnsi="Times New Roman" w:eastAsia="宋体" w:cs="Times New Roman"/>
          <w:color w:val="000000"/>
          <w:sz w:val="20"/>
          <w:szCs w:val="20"/>
          <w:vertAlign w:val="superscript"/>
        </w:rPr>
        <w:t>1</w:t>
      </w:r>
      <w:r>
        <w:rPr>
          <w:rFonts w:ascii="Times New Roman" w:hAnsi="Times New Roman" w:eastAsia="宋体" w:cs="Times New Roman"/>
          <w:color w:val="000000"/>
          <w:sz w:val="20"/>
          <w:szCs w:val="20"/>
        </w:rPr>
        <w:t>, Hailiang Yuan</w:t>
      </w:r>
      <w:r>
        <w:rPr>
          <w:rFonts w:ascii="Times New Roman" w:hAnsi="Times New Roman" w:eastAsia="宋体" w:cs="Times New Roman"/>
          <w:color w:val="000000"/>
          <w:sz w:val="20"/>
          <w:szCs w:val="20"/>
          <w:vertAlign w:val="superscript"/>
        </w:rPr>
        <w:t>1</w:t>
      </w:r>
      <w:r>
        <w:rPr>
          <w:rFonts w:ascii="Times New Roman" w:hAnsi="Times New Roman" w:eastAsia="宋体" w:cs="Times New Roman"/>
          <w:color w:val="000000"/>
          <w:sz w:val="20"/>
          <w:szCs w:val="20"/>
        </w:rPr>
        <w:t>, Deliang Li</w:t>
      </w:r>
      <w:r>
        <w:rPr>
          <w:rFonts w:ascii="Times New Roman" w:hAnsi="Times New Roman" w:eastAsia="宋体" w:cs="Times New Roman"/>
          <w:color w:val="000000"/>
          <w:sz w:val="20"/>
          <w:szCs w:val="20"/>
          <w:vertAlign w:val="superscript"/>
        </w:rPr>
        <w:t>1</w:t>
      </w:r>
      <w:r>
        <w:rPr>
          <w:rFonts w:ascii="Times New Roman" w:hAnsi="Times New Roman" w:eastAsia="宋体" w:cs="Times New Roman"/>
          <w:color w:val="000000"/>
          <w:sz w:val="20"/>
          <w:szCs w:val="20"/>
        </w:rPr>
        <w:t>, Weisi Deng</w:t>
      </w:r>
      <w:r>
        <w:rPr>
          <w:rFonts w:ascii="Times New Roman" w:hAnsi="Times New Roman" w:eastAsia="宋体" w:cs="Times New Roman"/>
          <w:color w:val="000000"/>
          <w:sz w:val="20"/>
          <w:szCs w:val="20"/>
          <w:vertAlign w:val="superscript"/>
        </w:rPr>
        <w:t>1</w:t>
      </w:r>
      <w:r>
        <w:rPr>
          <w:rFonts w:ascii="Times New Roman" w:hAnsi="Times New Roman" w:eastAsia="宋体" w:cs="Times New Roman"/>
          <w:color w:val="000000"/>
          <w:sz w:val="20"/>
          <w:szCs w:val="20"/>
        </w:rPr>
        <w:t>, Zhiwei Fu</w:t>
      </w:r>
      <w:r>
        <w:rPr>
          <w:rFonts w:ascii="Times New Roman" w:hAnsi="Times New Roman" w:eastAsia="宋体" w:cs="Times New Roman"/>
          <w:color w:val="000000"/>
          <w:sz w:val="20"/>
          <w:szCs w:val="20"/>
          <w:vertAlign w:val="superscript"/>
        </w:rPr>
        <w:t>1</w:t>
      </w:r>
      <w:r>
        <w:rPr>
          <w:rFonts w:ascii="Times New Roman" w:hAnsi="Times New Roman" w:eastAsia="宋体" w:cs="Times New Roman"/>
          <w:color w:val="000000"/>
          <w:sz w:val="20"/>
          <w:szCs w:val="20"/>
        </w:rPr>
        <w:t>, Ruonan Liu</w:t>
      </w:r>
      <w:r>
        <w:rPr>
          <w:rFonts w:ascii="Times New Roman" w:hAnsi="Times New Roman" w:eastAsia="宋体" w:cs="Times New Roman"/>
          <w:color w:val="000000"/>
          <w:sz w:val="20"/>
          <w:szCs w:val="20"/>
          <w:vertAlign w:val="superscript"/>
        </w:rPr>
        <w:t>1</w:t>
      </w:r>
      <w:r>
        <w:rPr>
          <w:rFonts w:ascii="Times New Roman" w:hAnsi="Times New Roman" w:eastAsia="宋体" w:cs="Times New Roman"/>
          <w:color w:val="000000"/>
          <w:sz w:val="20"/>
          <w:szCs w:val="20"/>
        </w:rPr>
        <w:t>, Yiying Liu</w:t>
      </w:r>
      <w:r>
        <w:rPr>
          <w:rFonts w:ascii="Times New Roman" w:hAnsi="Times New Roman" w:eastAsia="宋体" w:cs="Times New Roman"/>
          <w:color w:val="000000"/>
          <w:sz w:val="20"/>
          <w:szCs w:val="20"/>
          <w:vertAlign w:val="superscript"/>
        </w:rPr>
        <w:t>1</w:t>
      </w:r>
      <w:r>
        <w:rPr>
          <w:rFonts w:ascii="Times New Roman" w:hAnsi="Times New Roman" w:eastAsia="宋体" w:cs="Times New Roman"/>
          <w:color w:val="000000"/>
          <w:sz w:val="20"/>
          <w:szCs w:val="20"/>
        </w:rPr>
        <w:t>, Yixuan Han</w:t>
      </w:r>
      <w:r>
        <w:rPr>
          <w:rFonts w:ascii="Times New Roman" w:hAnsi="Times New Roman" w:eastAsia="宋体" w:cs="Times New Roman"/>
          <w:color w:val="000000"/>
          <w:sz w:val="20"/>
          <w:szCs w:val="20"/>
          <w:vertAlign w:val="superscript"/>
        </w:rPr>
        <w:t>1</w:t>
      </w:r>
      <w:r>
        <w:rPr>
          <w:rFonts w:ascii="Times New Roman" w:hAnsi="Times New Roman" w:eastAsia="宋体" w:cs="Times New Roman"/>
          <w:color w:val="000000"/>
          <w:sz w:val="20"/>
          <w:szCs w:val="20"/>
        </w:rPr>
        <w:t>, Yanpeng Wang</w:t>
      </w:r>
      <w:r>
        <w:rPr>
          <w:rFonts w:ascii="Times New Roman" w:hAnsi="Times New Roman" w:eastAsia="宋体" w:cs="Times New Roman"/>
          <w:color w:val="000000"/>
          <w:sz w:val="20"/>
          <w:szCs w:val="20"/>
          <w:vertAlign w:val="superscript"/>
        </w:rPr>
        <w:t>1</w:t>
      </w:r>
      <w:r>
        <w:rPr>
          <w:rFonts w:ascii="Times New Roman" w:hAnsi="Times New Roman" w:eastAsia="宋体" w:cs="Times New Roman"/>
          <w:color w:val="000000"/>
          <w:sz w:val="20"/>
          <w:szCs w:val="20"/>
        </w:rPr>
        <w:t>, Yue Zhao</w:t>
      </w:r>
      <w:r>
        <w:rPr>
          <w:rFonts w:ascii="Times New Roman" w:hAnsi="Times New Roman" w:eastAsia="宋体" w:cs="Times New Roman"/>
          <w:color w:val="000000"/>
          <w:sz w:val="20"/>
          <w:szCs w:val="20"/>
          <w:vertAlign w:val="superscript"/>
        </w:rPr>
        <w:t>1</w:t>
      </w:r>
      <w:r>
        <w:rPr>
          <w:rFonts w:ascii="Times New Roman" w:hAnsi="Times New Roman" w:eastAsia="宋体" w:cs="Times New Roman"/>
          <w:color w:val="000000"/>
          <w:sz w:val="20"/>
          <w:szCs w:val="20"/>
        </w:rPr>
        <w:t>, Xiaoyu Cui</w:t>
      </w:r>
      <w:r>
        <w:rPr>
          <w:rFonts w:ascii="Times New Roman" w:hAnsi="Times New Roman" w:eastAsia="宋体" w:cs="Times New Roman"/>
          <w:color w:val="000000"/>
          <w:sz w:val="20"/>
          <w:szCs w:val="20"/>
          <w:vertAlign w:val="superscript"/>
        </w:rPr>
        <w:t>1, *</w:t>
      </w:r>
      <w:r>
        <w:rPr>
          <w:rFonts w:ascii="Times New Roman" w:hAnsi="Times New Roman" w:eastAsia="宋体" w:cs="Times New Roman"/>
          <w:color w:val="000000"/>
          <w:sz w:val="20"/>
          <w:szCs w:val="20"/>
        </w:rPr>
        <w:t>, Ye Tian</w:t>
      </w:r>
      <w:r>
        <w:rPr>
          <w:rFonts w:ascii="Times New Roman" w:hAnsi="Times New Roman" w:eastAsia="宋体" w:cs="Times New Roman"/>
          <w:color w:val="000000"/>
          <w:sz w:val="20"/>
          <w:szCs w:val="20"/>
          <w:vertAlign w:val="superscript"/>
        </w:rPr>
        <w:t>1, 2, *</w:t>
      </w:r>
    </w:p>
    <w:p>
      <w:pPr>
        <w:spacing w:line="480" w:lineRule="auto"/>
        <w:rPr>
          <w:rFonts w:ascii="Times New Roman" w:hAnsi="Times New Roman" w:eastAsia="宋体" w:cs="Times New Roman"/>
          <w:b/>
          <w:bCs/>
          <w:color w:val="000000"/>
          <w:sz w:val="20"/>
          <w:szCs w:val="20"/>
        </w:rPr>
      </w:pPr>
      <w:r>
        <w:rPr>
          <w:rFonts w:ascii="Times New Roman" w:hAnsi="Times New Roman" w:eastAsia="宋体" w:cs="Times New Roman"/>
          <w:color w:val="000000"/>
          <w:sz w:val="20"/>
          <w:szCs w:val="20"/>
          <w:u w:val="dashDotDotHeavy" w:color="FA5050"/>
          <w:vertAlign w:val="superscript"/>
        </w:rPr>
        <w:t>1</w:t>
      </w:r>
      <w:r>
        <w:rPr>
          <w:rFonts w:ascii="Times New Roman" w:hAnsi="Times New Roman" w:eastAsia="宋体" w:cs="Times New Roman"/>
          <w:color w:val="000000"/>
          <w:sz w:val="20"/>
          <w:szCs w:val="20"/>
        </w:rPr>
        <w:t>College of Medicine and Biological Information Engineering, Northeastern University, Shenyang 110169, China</w:t>
      </w:r>
    </w:p>
    <w:p>
      <w:pPr>
        <w:spacing w:line="480" w:lineRule="auto"/>
        <w:rPr>
          <w:rFonts w:ascii="Times New Roman" w:hAnsi="Times New Roman" w:eastAsia="宋体" w:cs="Times New Roman"/>
          <w:color w:val="000000"/>
          <w:sz w:val="20"/>
          <w:szCs w:val="20"/>
        </w:rPr>
      </w:pPr>
      <w:r>
        <w:rPr>
          <w:rFonts w:ascii="Times New Roman" w:hAnsi="Times New Roman" w:eastAsia="宋体" w:cs="Times New Roman"/>
          <w:color w:val="000000"/>
          <w:sz w:val="20"/>
          <w:szCs w:val="20"/>
          <w:u w:val="dashDotDotHeavy" w:color="FA5050"/>
          <w:vertAlign w:val="superscript"/>
        </w:rPr>
        <w:t>2</w:t>
      </w:r>
      <w:r>
        <w:rPr>
          <w:rFonts w:ascii="Times New Roman" w:hAnsi="Times New Roman" w:eastAsia="宋体" w:cs="Times New Roman"/>
          <w:color w:val="000000"/>
          <w:sz w:val="20"/>
          <w:szCs w:val="20"/>
        </w:rPr>
        <w:t>Foshan Graduate School of Northeastern University, Foshan, 528300, China</w:t>
      </w:r>
    </w:p>
    <w:p>
      <w:pPr>
        <w:spacing w:line="480" w:lineRule="auto"/>
        <w:rPr>
          <w:rFonts w:ascii="Times New Roman" w:hAnsi="Times New Roman" w:eastAsia="宋体" w:cs="Times New Roman"/>
          <w:color w:val="000000"/>
          <w:sz w:val="20"/>
          <w:szCs w:val="20"/>
        </w:rPr>
      </w:pPr>
      <w:r>
        <w:rPr>
          <w:rFonts w:ascii="Times New Roman" w:hAnsi="Times New Roman" w:eastAsia="宋体" w:cs="Times New Roman"/>
          <w:color w:val="000000"/>
          <w:sz w:val="20"/>
          <w:szCs w:val="20"/>
        </w:rPr>
        <w:t xml:space="preserve">Corresponding author: </w:t>
      </w:r>
    </w:p>
    <w:p>
      <w:pPr>
        <w:spacing w:line="480" w:lineRule="auto"/>
        <w:rPr>
          <w:rFonts w:ascii="Times New Roman" w:hAnsi="Times New Roman" w:eastAsia="宋体" w:cs="Times New Roman"/>
          <w:color w:val="000000"/>
          <w:sz w:val="20"/>
          <w:szCs w:val="20"/>
        </w:rPr>
      </w:pPr>
      <w:r>
        <w:rPr>
          <w:rFonts w:ascii="Times New Roman" w:hAnsi="Times New Roman" w:eastAsia="宋体" w:cs="Times New Roman"/>
          <w:color w:val="000000"/>
          <w:sz w:val="20"/>
          <w:szCs w:val="20"/>
        </w:rPr>
        <w:t>Dr. Xiaoyu Cui, E-mail: cuixy@bmie.neu.edu.cn</w:t>
      </w:r>
    </w:p>
    <w:p>
      <w:pPr>
        <w:spacing w:line="480" w:lineRule="auto"/>
        <w:rPr>
          <w:rFonts w:ascii="Times New Roman" w:hAnsi="Times New Roman" w:eastAsia="宋体" w:cs="Times New Roman"/>
          <w:color w:val="000000"/>
          <w:sz w:val="20"/>
          <w:szCs w:val="20"/>
        </w:rPr>
      </w:pPr>
      <w:r>
        <w:rPr>
          <w:rFonts w:ascii="Times New Roman" w:hAnsi="Times New Roman" w:eastAsia="宋体" w:cs="Times New Roman"/>
          <w:color w:val="000000"/>
          <w:sz w:val="20"/>
          <w:szCs w:val="20"/>
        </w:rPr>
        <w:t>Dr. Ye</w:t>
      </w:r>
      <w:r>
        <w:rPr>
          <w:rFonts w:hint="eastAsia" w:ascii="Times New Roman" w:hAnsi="Times New Roman" w:eastAsia="宋体" w:cs="Times New Roman"/>
          <w:color w:val="000000"/>
          <w:sz w:val="20"/>
          <w:szCs w:val="20"/>
        </w:rPr>
        <w:t xml:space="preserve"> </w:t>
      </w:r>
      <w:r>
        <w:rPr>
          <w:rFonts w:ascii="Times New Roman" w:hAnsi="Times New Roman" w:eastAsia="宋体" w:cs="Times New Roman"/>
          <w:color w:val="000000"/>
          <w:sz w:val="20"/>
          <w:szCs w:val="20"/>
        </w:rPr>
        <w:t>Tian, E-mail: tianye@bmie.neu.edu.cn</w:t>
      </w:r>
    </w:p>
    <w:p>
      <w:pPr>
        <w:rPr>
          <w:sz w:val="20"/>
          <w:szCs w:val="20"/>
        </w:rPr>
      </w:pPr>
    </w:p>
    <w:p>
      <w:pPr>
        <w:widowControl/>
        <w:jc w:val="left"/>
        <w:rPr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</w:p>
    <w:p>
      <w:pPr>
        <w:rPr>
          <w:rFonts w:ascii="Times New Roman" w:hAnsi="Times New Roman" w:cs="Times New Roman"/>
          <w:sz w:val="20"/>
          <w:szCs w:val="20"/>
        </w:rPr>
      </w:pPr>
    </w:p>
    <w:p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sz w:val="20"/>
          <w:szCs w:val="20"/>
        </w:rPr>
        <w:drawing>
          <wp:inline distT="0" distB="0" distL="0" distR="0">
            <wp:extent cx="3761740" cy="2879725"/>
            <wp:effectExtent l="0" t="0" r="0" b="0"/>
            <wp:docPr id="65452932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4529328" name="图片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761799" cy="28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Fig. S1</w:t>
      </w:r>
      <w:r>
        <w:rPr>
          <w:rFonts w:ascii="Times New Roman" w:hAnsi="Times New Roman" w:cs="Times New Roman"/>
          <w:sz w:val="20"/>
          <w:szCs w:val="20"/>
        </w:rPr>
        <w:t xml:space="preserve"> FTIR spectra of SA, NIPAM, PS hydrogel and </w:t>
      </w:r>
      <w:r>
        <w:rPr>
          <w:rFonts w:hint="eastAsia" w:ascii="Times New Roman" w:hAnsi="Times New Roman" w:cs="Times New Roman"/>
          <w:sz w:val="20"/>
          <w:szCs w:val="20"/>
        </w:rPr>
        <w:t>PSM</w:t>
      </w:r>
      <w:r>
        <w:rPr>
          <w:rFonts w:ascii="Times New Roman" w:hAnsi="Times New Roman" w:cs="Times New Roman"/>
          <w:sz w:val="20"/>
          <w:szCs w:val="20"/>
        </w:rPr>
        <w:t xml:space="preserve"> hydrogel</w:t>
      </w:r>
    </w:p>
    <w:p>
      <w:pPr>
        <w:rPr>
          <w:rFonts w:ascii="Times New Roman" w:hAnsi="Times New Roman" w:cs="Times New Roman"/>
          <w:sz w:val="20"/>
          <w:szCs w:val="20"/>
        </w:rPr>
      </w:pPr>
    </w:p>
    <w:p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sz w:val="20"/>
          <w:szCs w:val="20"/>
        </w:rPr>
        <w:drawing>
          <wp:inline distT="0" distB="0" distL="0" distR="0">
            <wp:extent cx="2439670" cy="2519680"/>
            <wp:effectExtent l="0" t="0" r="0" b="0"/>
            <wp:docPr id="131853370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8533703" name="图片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40093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Fig. S2 </w:t>
      </w:r>
      <w:r>
        <w:rPr>
          <w:rFonts w:ascii="Times New Roman" w:hAnsi="Times New Roman" w:cs="Times New Roman"/>
          <w:sz w:val="20"/>
          <w:szCs w:val="20"/>
        </w:rPr>
        <w:t>Scheme of measuring the bending angle (θ) of the hydrogel actuator</w:t>
      </w:r>
    </w:p>
    <w:p>
      <w:pPr>
        <w:rPr>
          <w:rFonts w:ascii="Times New Roman" w:hAnsi="Times New Roman" w:cs="Times New Roman"/>
          <w:sz w:val="20"/>
          <w:szCs w:val="20"/>
        </w:rPr>
      </w:pPr>
    </w:p>
    <w:p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sz w:val="20"/>
          <w:szCs w:val="20"/>
        </w:rPr>
        <w:drawing>
          <wp:inline distT="0" distB="0" distL="0" distR="0">
            <wp:extent cx="5274310" cy="2955925"/>
            <wp:effectExtent l="0" t="0" r="2540" b="0"/>
            <wp:docPr id="181513434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5134346" name="图片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5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Fig. S3 </w:t>
      </w:r>
      <w:r>
        <w:rPr>
          <w:rFonts w:ascii="Times New Roman" w:hAnsi="Times New Roman" w:cs="Times New Roman"/>
          <w:sz w:val="20"/>
          <w:szCs w:val="20"/>
        </w:rPr>
        <w:t xml:space="preserve">Thermo-responsive actuation </w:t>
      </w:r>
      <w:r>
        <w:rPr>
          <w:rFonts w:ascii="Times New Roman" w:hAnsi="Times New Roman" w:cs="Times New Roman"/>
          <w:b/>
          <w:bCs/>
          <w:sz w:val="20"/>
          <w:szCs w:val="20"/>
        </w:rPr>
        <w:t>a</w:t>
      </w:r>
      <w:r>
        <w:rPr>
          <w:rFonts w:ascii="Times New Roman" w:hAnsi="Times New Roman" w:cs="Times New Roman"/>
          <w:sz w:val="20"/>
          <w:szCs w:val="20"/>
        </w:rPr>
        <w:t xml:space="preserve"> angle change curve, </w:t>
      </w:r>
      <w:r>
        <w:rPr>
          <w:rFonts w:ascii="Times New Roman" w:hAnsi="Times New Roman" w:cs="Times New Roman"/>
          <w:b/>
          <w:bCs/>
          <w:sz w:val="20"/>
          <w:szCs w:val="20"/>
        </w:rPr>
        <w:t>b</w:t>
      </w:r>
      <w:r>
        <w:rPr>
          <w:rFonts w:ascii="Times New Roman" w:hAnsi="Times New Roman" w:cs="Times New Roman"/>
          <w:sz w:val="20"/>
          <w:szCs w:val="20"/>
        </w:rPr>
        <w:t xml:space="preserve"> physical diagram of the hydrogel without CaCl</w:t>
      </w:r>
      <w:r>
        <w:rPr>
          <w:rFonts w:ascii="Times New Roman" w:hAnsi="Times New Roman" w:cs="Times New Roman"/>
          <w:sz w:val="20"/>
          <w:szCs w:val="20"/>
          <w:vertAlign w:val="subscript"/>
        </w:rPr>
        <w:t>2</w:t>
      </w:r>
      <w:r>
        <w:rPr>
          <w:rFonts w:ascii="Times New Roman" w:hAnsi="Times New Roman" w:cs="Times New Roman"/>
          <w:sz w:val="20"/>
          <w:szCs w:val="20"/>
        </w:rPr>
        <w:t xml:space="preserve"> soaking in water at 50 °C</w:t>
      </w:r>
    </w:p>
    <w:p>
      <w:pPr>
        <w:rPr>
          <w:rFonts w:ascii="Times New Roman" w:hAnsi="Times New Roman" w:cs="Times New Roman"/>
          <w:sz w:val="20"/>
          <w:szCs w:val="20"/>
        </w:rPr>
      </w:pPr>
    </w:p>
    <w:p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>
      <w:pPr>
        <w:widowControl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sz w:val="20"/>
          <w:szCs w:val="20"/>
        </w:rPr>
        <w:drawing>
          <wp:inline distT="0" distB="0" distL="0" distR="0">
            <wp:extent cx="3761740" cy="2879725"/>
            <wp:effectExtent l="0" t="0" r="0" b="0"/>
            <wp:docPr id="129060431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0604319" name="图片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761799" cy="28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Fig. S4 </w:t>
      </w:r>
      <w:r>
        <w:rPr>
          <w:rFonts w:ascii="Times New Roman" w:hAnsi="Times New Roman" w:cs="Times New Roman"/>
          <w:sz w:val="20"/>
          <w:szCs w:val="20"/>
        </w:rPr>
        <w:t>The deswelling ratio of PSM hydrogels soaked in CaCl</w:t>
      </w:r>
      <w:r>
        <w:rPr>
          <w:rFonts w:ascii="Times New Roman" w:hAnsi="Times New Roman" w:cs="Times New Roman"/>
          <w:sz w:val="20"/>
          <w:szCs w:val="20"/>
          <w:vertAlign w:val="subscript"/>
        </w:rPr>
        <w:t>2</w:t>
      </w:r>
      <w:r>
        <w:rPr>
          <w:rFonts w:ascii="Times New Roman" w:hAnsi="Times New Roman" w:cs="Times New Roman"/>
          <w:sz w:val="20"/>
          <w:szCs w:val="20"/>
        </w:rPr>
        <w:t xml:space="preserve"> for 50 s, 100 s, 150 s and 200 s</w:t>
      </w:r>
    </w:p>
    <w:p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sz w:val="20"/>
          <w:szCs w:val="20"/>
        </w:rPr>
        <w:drawing>
          <wp:inline distT="0" distB="0" distL="0" distR="0">
            <wp:extent cx="5274310" cy="3237865"/>
            <wp:effectExtent l="0" t="0" r="2540" b="635"/>
            <wp:docPr id="1421573450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1573450" name="图片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37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Fig. S5 </w:t>
      </w:r>
      <w:r>
        <w:rPr>
          <w:rFonts w:ascii="Times New Roman" w:hAnsi="Times New Roman" w:cs="Times New Roman"/>
          <w:sz w:val="20"/>
          <w:szCs w:val="20"/>
        </w:rPr>
        <w:t>Thermo-responsive actuation of hydrogels after soaking CaCl</w:t>
      </w:r>
      <w:r>
        <w:rPr>
          <w:rFonts w:ascii="Times New Roman" w:hAnsi="Times New Roman" w:cs="Times New Roman"/>
          <w:sz w:val="20"/>
          <w:szCs w:val="20"/>
          <w:vertAlign w:val="subscript"/>
        </w:rPr>
        <w:t xml:space="preserve">2 </w:t>
      </w:r>
      <w:r>
        <w:rPr>
          <w:rFonts w:ascii="Times New Roman" w:hAnsi="Times New Roman" w:cs="Times New Roman"/>
          <w:sz w:val="20"/>
          <w:szCs w:val="20"/>
        </w:rPr>
        <w:t xml:space="preserve">for </w:t>
      </w:r>
      <w:r>
        <w:rPr>
          <w:rFonts w:ascii="Times New Roman" w:hAnsi="Times New Roman" w:cs="Times New Roman"/>
          <w:b/>
          <w:bCs/>
          <w:sz w:val="20"/>
          <w:szCs w:val="20"/>
        </w:rPr>
        <w:t>a</w:t>
      </w:r>
      <w:r>
        <w:rPr>
          <w:rFonts w:ascii="Times New Roman" w:hAnsi="Times New Roman" w:cs="Times New Roman"/>
          <w:sz w:val="20"/>
          <w:szCs w:val="20"/>
        </w:rPr>
        <w:t xml:space="preserve"> 50 s, </w:t>
      </w:r>
      <w:r>
        <w:rPr>
          <w:rFonts w:ascii="Times New Roman" w:hAnsi="Times New Roman" w:cs="Times New Roman"/>
          <w:b/>
          <w:bCs/>
          <w:sz w:val="20"/>
          <w:szCs w:val="20"/>
        </w:rPr>
        <w:t>b</w:t>
      </w:r>
      <w:r>
        <w:rPr>
          <w:rFonts w:ascii="Times New Roman" w:hAnsi="Times New Roman" w:cs="Times New Roman"/>
          <w:sz w:val="20"/>
          <w:szCs w:val="20"/>
        </w:rPr>
        <w:t xml:space="preserve"> 100 s, </w:t>
      </w:r>
      <w:r>
        <w:rPr>
          <w:rFonts w:ascii="Times New Roman" w:hAnsi="Times New Roman" w:cs="Times New Roman"/>
          <w:b/>
          <w:bCs/>
          <w:sz w:val="20"/>
          <w:szCs w:val="20"/>
        </w:rPr>
        <w:t>c</w:t>
      </w:r>
      <w:r>
        <w:rPr>
          <w:rFonts w:ascii="Times New Roman" w:hAnsi="Times New Roman" w:cs="Times New Roman"/>
          <w:sz w:val="20"/>
          <w:szCs w:val="20"/>
        </w:rPr>
        <w:t xml:space="preserve"> 200 s in water at 50 °C</w:t>
      </w:r>
    </w:p>
    <w:p>
      <w:pPr>
        <w:widowControl/>
        <w:jc w:val="left"/>
        <w:rPr>
          <w:rFonts w:ascii="Times New Roman" w:hAnsi="Times New Roman" w:cs="Times New Roman"/>
          <w:sz w:val="20"/>
          <w:szCs w:val="20"/>
        </w:rPr>
        <w:sectPr>
          <w:footerReference r:id="rId3" w:type="default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widowControl/>
        <w:jc w:val="center"/>
        <w:rPr>
          <w:rFonts w:hint="eastAsia" w:ascii="Times New Roman" w:hAnsi="Times New Roman" w:cs="Times New Roman" w:eastAsiaTheme="minorEastAsia"/>
          <w:sz w:val="20"/>
          <w:szCs w:val="20"/>
          <w:lang w:eastAsia="zh-CN"/>
        </w:rPr>
      </w:pPr>
      <w:r>
        <w:rPr>
          <w:rFonts w:hint="eastAsia" w:ascii="Times New Roman" w:hAnsi="Times New Roman" w:cs="Times New Roman" w:eastAsiaTheme="minorEastAsia"/>
          <w:sz w:val="20"/>
          <w:szCs w:val="20"/>
          <w:lang w:eastAsia="zh-CN"/>
        </w:rPr>
        <w:drawing>
          <wp:inline distT="0" distB="0" distL="114300" distR="114300">
            <wp:extent cx="3763010" cy="2879725"/>
            <wp:effectExtent l="0" t="0" r="8890" b="3175"/>
            <wp:docPr id="1" name="图片 1" descr="浸泡CaCl2不同时间杨氏模量-返修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浸泡CaCl2不同时间杨氏模量-返修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763010" cy="2879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 w:ascii="Times New Roman" w:hAnsi="Times New Roman" w:cs="Times New Roman" w:eastAsiaTheme="minorEastAsia"/>
          <w:sz w:val="20"/>
          <w:szCs w:val="20"/>
          <w:highlight w:val="none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ascii="Times New Roman" w:hAnsi="Times New Roman" w:cs="Times New Roman"/>
          <w:b/>
          <w:bCs/>
          <w:sz w:val="20"/>
          <w:szCs w:val="20"/>
          <w:highlight w:val="none"/>
        </w:rPr>
        <w:t>Fig. S</w:t>
      </w:r>
      <w:r>
        <w:rPr>
          <w:rFonts w:hint="eastAsia" w:ascii="Times New Roman" w:hAnsi="Times New Roman" w:cs="Times New Roman"/>
          <w:b/>
          <w:bCs/>
          <w:sz w:val="20"/>
          <w:szCs w:val="20"/>
          <w:highlight w:val="none"/>
          <w:lang w:val="en-US" w:eastAsia="zh-CN"/>
        </w:rPr>
        <w:t>6</w:t>
      </w:r>
      <w:r>
        <w:rPr>
          <w:rFonts w:ascii="Times New Roman" w:hAnsi="Times New Roman" w:cs="Times New Roman"/>
          <w:b/>
          <w:bCs/>
          <w:sz w:val="20"/>
          <w:szCs w:val="20"/>
          <w:highlight w:val="none"/>
        </w:rPr>
        <w:t xml:space="preserve"> </w:t>
      </w:r>
      <w:r>
        <w:rPr>
          <w:rFonts w:ascii="Times New Roman" w:hAnsi="Times New Roman" w:cs="Times New Roman"/>
          <w:sz w:val="20"/>
          <w:szCs w:val="20"/>
          <w:highlight w:val="none"/>
        </w:rPr>
        <w:t xml:space="preserve">The </w:t>
      </w:r>
      <w:r>
        <w:rPr>
          <w:rFonts w:hint="eastAsia" w:ascii="Times New Roman" w:hAnsi="Times New Roman" w:cs="Times New Roman"/>
          <w:sz w:val="20"/>
          <w:szCs w:val="20"/>
          <w:highlight w:val="none"/>
        </w:rPr>
        <w:t>Young's modulus</w:t>
      </w:r>
      <w:r>
        <w:rPr>
          <w:rFonts w:ascii="Times New Roman" w:hAnsi="Times New Roman" w:cs="Times New Roman"/>
          <w:sz w:val="20"/>
          <w:szCs w:val="20"/>
          <w:highlight w:val="none"/>
        </w:rPr>
        <w:t xml:space="preserve"> of PSM hydrogels soaked in CaCl</w:t>
      </w:r>
      <w:r>
        <w:rPr>
          <w:rFonts w:ascii="Times New Roman" w:hAnsi="Times New Roman" w:cs="Times New Roman"/>
          <w:sz w:val="20"/>
          <w:szCs w:val="20"/>
          <w:highlight w:val="none"/>
          <w:vertAlign w:val="subscript"/>
        </w:rPr>
        <w:t>2</w:t>
      </w:r>
      <w:r>
        <w:rPr>
          <w:rFonts w:ascii="Times New Roman" w:hAnsi="Times New Roman" w:cs="Times New Roman"/>
          <w:sz w:val="20"/>
          <w:szCs w:val="20"/>
          <w:highlight w:val="none"/>
        </w:rPr>
        <w:t xml:space="preserve"> for 50 s, 100 s, 150 s and 200</w:t>
      </w:r>
      <w:r>
        <w:rPr>
          <w:rFonts w:hint="eastAsia" w:ascii="Times New Roman" w:hAnsi="Times New Roman" w:cs="Times New Roman"/>
          <w:sz w:val="20"/>
          <w:szCs w:val="20"/>
          <w:highlight w:val="none"/>
          <w:lang w:val="en-US" w:eastAsia="zh-CN"/>
        </w:rPr>
        <w:t xml:space="preserve"> s</w:t>
      </w:r>
      <w:bookmarkStart w:id="0" w:name="_GoBack"/>
      <w:bookmarkEnd w:id="0"/>
    </w:p>
    <w:p>
      <w:pPr>
        <w:widowControl/>
        <w:jc w:val="both"/>
        <w:rPr>
          <w:rFonts w:ascii="Times New Roman" w:hAnsi="Times New Roman" w:cs="Times New Roman"/>
          <w:sz w:val="20"/>
          <w:szCs w:val="20"/>
        </w:rPr>
      </w:pPr>
      <w:r>
        <w:rPr>
          <w:sz w:val="20"/>
          <w:szCs w:val="20"/>
        </w:rPr>
        <w:drawing>
          <wp:inline distT="0" distB="0" distL="0" distR="0">
            <wp:extent cx="5274310" cy="3503930"/>
            <wp:effectExtent l="0" t="0" r="2540" b="1270"/>
            <wp:docPr id="95184204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184204" name="图片 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03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Fig. S</w:t>
      </w:r>
      <w:r>
        <w:rPr>
          <w:rFonts w:hint="eastAsia" w:ascii="Times New Roman" w:hAnsi="Times New Roman" w:cs="Times New Roman"/>
          <w:b/>
          <w:bCs/>
          <w:sz w:val="20"/>
          <w:szCs w:val="20"/>
          <w:lang w:val="en-US" w:eastAsia="zh-CN"/>
        </w:rPr>
        <w:t>7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Thermo-responsive actuation of </w:t>
      </w:r>
      <w:r>
        <w:rPr>
          <w:rFonts w:ascii="Times New Roman" w:hAnsi="Times New Roman" w:cs="Times New Roman"/>
          <w:b/>
          <w:bCs/>
          <w:sz w:val="20"/>
          <w:szCs w:val="20"/>
        </w:rPr>
        <w:t>a</w:t>
      </w:r>
      <w:r>
        <w:rPr>
          <w:rFonts w:ascii="Times New Roman" w:hAnsi="Times New Roman" w:cs="Times New Roman"/>
          <w:sz w:val="20"/>
          <w:szCs w:val="20"/>
        </w:rPr>
        <w:t xml:space="preserve"> PSM</w:t>
      </w:r>
      <w:r>
        <w:rPr>
          <w:rFonts w:ascii="Times New Roman" w:hAnsi="Times New Roman" w:cs="Times New Roman"/>
          <w:sz w:val="20"/>
          <w:szCs w:val="20"/>
          <w:vertAlign w:val="subscript"/>
        </w:rPr>
        <w:t>0.2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>
        <w:rPr>
          <w:rFonts w:ascii="Times New Roman" w:hAnsi="Times New Roman" w:cs="Times New Roman"/>
          <w:b/>
          <w:bCs/>
          <w:sz w:val="20"/>
          <w:szCs w:val="20"/>
        </w:rPr>
        <w:t>b</w:t>
      </w:r>
      <w:r>
        <w:rPr>
          <w:rFonts w:ascii="Times New Roman" w:hAnsi="Times New Roman" w:cs="Times New Roman"/>
          <w:sz w:val="20"/>
          <w:szCs w:val="20"/>
        </w:rPr>
        <w:t xml:space="preserve"> PSM</w:t>
      </w:r>
      <w:r>
        <w:rPr>
          <w:rFonts w:ascii="Times New Roman" w:hAnsi="Times New Roman" w:cs="Times New Roman"/>
          <w:sz w:val="20"/>
          <w:szCs w:val="20"/>
          <w:vertAlign w:val="subscript"/>
        </w:rPr>
        <w:t>0.4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>
        <w:rPr>
          <w:rFonts w:ascii="Times New Roman" w:hAnsi="Times New Roman" w:cs="Times New Roman"/>
          <w:b/>
          <w:bCs/>
          <w:sz w:val="20"/>
          <w:szCs w:val="20"/>
        </w:rPr>
        <w:t>c</w:t>
      </w:r>
      <w:r>
        <w:rPr>
          <w:rFonts w:ascii="Times New Roman" w:hAnsi="Times New Roman" w:cs="Times New Roman"/>
          <w:sz w:val="20"/>
          <w:szCs w:val="20"/>
        </w:rPr>
        <w:t xml:space="preserve"> PSM</w:t>
      </w:r>
      <w:r>
        <w:rPr>
          <w:rFonts w:ascii="Times New Roman" w:hAnsi="Times New Roman" w:cs="Times New Roman"/>
          <w:sz w:val="20"/>
          <w:szCs w:val="20"/>
          <w:vertAlign w:val="subscript"/>
        </w:rPr>
        <w:t>0.8</w:t>
      </w:r>
      <w:r>
        <w:rPr>
          <w:rFonts w:ascii="Times New Roman" w:hAnsi="Times New Roman" w:cs="Times New Roman"/>
          <w:sz w:val="20"/>
          <w:szCs w:val="20"/>
        </w:rPr>
        <w:t xml:space="preserve"> hydrogels in water at 50 °C</w:t>
      </w:r>
    </w:p>
    <w:p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</w:p>
    <w:p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sz w:val="20"/>
          <w:szCs w:val="20"/>
        </w:rPr>
        <w:drawing>
          <wp:inline distT="0" distB="0" distL="0" distR="0">
            <wp:extent cx="3763645" cy="2879725"/>
            <wp:effectExtent l="0" t="0" r="8255" b="0"/>
            <wp:docPr id="131915816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9158164" name="图片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764167" cy="28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Fig. S</w:t>
      </w:r>
      <w:r>
        <w:rPr>
          <w:rFonts w:hint="eastAsia" w:ascii="Times New Roman" w:hAnsi="Times New Roman" w:cs="Times New Roman"/>
          <w:b/>
          <w:bCs/>
          <w:sz w:val="20"/>
          <w:szCs w:val="20"/>
          <w:lang w:val="en-US" w:eastAsia="zh-CN"/>
        </w:rPr>
        <w:t>8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Deswelling curve of PSM hydrogel in water at 50 °C</w:t>
      </w:r>
    </w:p>
    <w:p>
      <w:pPr>
        <w:rPr>
          <w:rFonts w:ascii="Times New Roman" w:hAnsi="Times New Roman" w:cs="Times New Roman"/>
          <w:sz w:val="20"/>
          <w:szCs w:val="20"/>
        </w:rPr>
      </w:pPr>
    </w:p>
    <w:p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sz w:val="20"/>
          <w:szCs w:val="20"/>
        </w:rPr>
        <w:drawing>
          <wp:inline distT="0" distB="0" distL="0" distR="0">
            <wp:extent cx="5274310" cy="2204085"/>
            <wp:effectExtent l="0" t="0" r="2540" b="5715"/>
            <wp:docPr id="706361310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6361310" name="图片 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04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Fig. S</w:t>
      </w:r>
      <w:r>
        <w:rPr>
          <w:rFonts w:hint="eastAsia" w:ascii="Times New Roman" w:hAnsi="Times New Roman" w:cs="Times New Roman"/>
          <w:b/>
          <w:bCs/>
          <w:sz w:val="20"/>
          <w:szCs w:val="20"/>
          <w:lang w:val="en-US" w:eastAsia="zh-CN"/>
        </w:rPr>
        <w:t>9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Thermo-responsive actuation of hydrogels with a thickness of </w:t>
      </w:r>
      <w:r>
        <w:rPr>
          <w:rFonts w:ascii="Times New Roman" w:hAnsi="Times New Roman" w:cs="Times New Roman"/>
          <w:b/>
          <w:bCs/>
          <w:sz w:val="20"/>
          <w:szCs w:val="20"/>
        </w:rPr>
        <w:t>a</w:t>
      </w:r>
      <w:r>
        <w:rPr>
          <w:rFonts w:ascii="Times New Roman" w:hAnsi="Times New Roman" w:cs="Times New Roman"/>
          <w:sz w:val="20"/>
          <w:szCs w:val="20"/>
        </w:rPr>
        <w:t xml:space="preserve"> 2 mm and </w:t>
      </w:r>
      <w:r>
        <w:rPr>
          <w:rFonts w:ascii="Times New Roman" w:hAnsi="Times New Roman" w:cs="Times New Roman"/>
          <w:b/>
          <w:bCs/>
          <w:sz w:val="20"/>
          <w:szCs w:val="20"/>
        </w:rPr>
        <w:t>b</w:t>
      </w:r>
      <w:r>
        <w:rPr>
          <w:rFonts w:ascii="Times New Roman" w:hAnsi="Times New Roman" w:cs="Times New Roman"/>
          <w:sz w:val="20"/>
          <w:szCs w:val="20"/>
        </w:rPr>
        <w:t xml:space="preserve"> 3 mm in water at 50 °C</w:t>
      </w:r>
    </w:p>
    <w:p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sz w:val="20"/>
          <w:szCs w:val="20"/>
        </w:rPr>
        <w:drawing>
          <wp:inline distT="0" distB="0" distL="0" distR="0">
            <wp:extent cx="5274310" cy="3016885"/>
            <wp:effectExtent l="0" t="0" r="2540" b="0"/>
            <wp:docPr id="740010500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0010500" name="图片 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16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Fig. S</w:t>
      </w:r>
      <w:r>
        <w:rPr>
          <w:rFonts w:hint="eastAsia" w:ascii="Times New Roman" w:hAnsi="Times New Roman" w:cs="Times New Roman"/>
          <w:b/>
          <w:bCs/>
          <w:sz w:val="20"/>
          <w:szCs w:val="20"/>
          <w:lang w:val="en-US" w:eastAsia="zh-CN"/>
        </w:rPr>
        <w:t>10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Temperature response changes of </w:t>
      </w:r>
      <w:r>
        <w:rPr>
          <w:rFonts w:ascii="Times New Roman" w:hAnsi="Times New Roman" w:cs="Times New Roman"/>
          <w:b/>
          <w:bCs/>
          <w:sz w:val="20"/>
          <w:szCs w:val="20"/>
        </w:rPr>
        <w:t>a</w:t>
      </w:r>
      <w:r>
        <w:rPr>
          <w:rFonts w:ascii="Times New Roman" w:hAnsi="Times New Roman" w:cs="Times New Roman"/>
          <w:sz w:val="20"/>
          <w:szCs w:val="20"/>
        </w:rPr>
        <w:t xml:space="preserve"> PSM</w:t>
      </w:r>
      <w:r>
        <w:rPr>
          <w:rFonts w:ascii="Times New Roman" w:hAnsi="Times New Roman" w:cs="Times New Roman"/>
          <w:sz w:val="20"/>
          <w:szCs w:val="20"/>
          <w:vertAlign w:val="subscript"/>
        </w:rPr>
        <w:t>0.2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>
        <w:rPr>
          <w:rFonts w:ascii="Times New Roman" w:hAnsi="Times New Roman" w:cs="Times New Roman"/>
          <w:b/>
          <w:bCs/>
          <w:sz w:val="20"/>
          <w:szCs w:val="20"/>
        </w:rPr>
        <w:t>b</w:t>
      </w:r>
      <w:r>
        <w:rPr>
          <w:rFonts w:ascii="Times New Roman" w:hAnsi="Times New Roman" w:cs="Times New Roman"/>
          <w:sz w:val="20"/>
          <w:szCs w:val="20"/>
        </w:rPr>
        <w:t xml:space="preserve"> PSM</w:t>
      </w:r>
      <w:r>
        <w:rPr>
          <w:rFonts w:ascii="Times New Roman" w:hAnsi="Times New Roman" w:cs="Times New Roman"/>
          <w:sz w:val="20"/>
          <w:szCs w:val="20"/>
          <w:vertAlign w:val="subscript"/>
        </w:rPr>
        <w:t xml:space="preserve">0.4 </w:t>
      </w:r>
      <w:r>
        <w:rPr>
          <w:rFonts w:ascii="Times New Roman" w:hAnsi="Times New Roman" w:cs="Times New Roman"/>
          <w:b/>
          <w:bCs/>
          <w:sz w:val="20"/>
          <w:szCs w:val="20"/>
        </w:rPr>
        <w:t>c</w:t>
      </w:r>
      <w:r>
        <w:rPr>
          <w:rFonts w:ascii="Times New Roman" w:hAnsi="Times New Roman" w:cs="Times New Roman"/>
          <w:sz w:val="20"/>
          <w:szCs w:val="20"/>
        </w:rPr>
        <w:t xml:space="preserve"> PSM</w:t>
      </w:r>
      <w:r>
        <w:rPr>
          <w:rFonts w:ascii="Times New Roman" w:hAnsi="Times New Roman" w:cs="Times New Roman"/>
          <w:sz w:val="20"/>
          <w:szCs w:val="20"/>
          <w:vertAlign w:val="subscript"/>
        </w:rPr>
        <w:t xml:space="preserve">0.8 </w:t>
      </w:r>
      <w:r>
        <w:rPr>
          <w:rFonts w:ascii="Times New Roman" w:hAnsi="Times New Roman" w:cs="Times New Roman"/>
          <w:sz w:val="20"/>
          <w:szCs w:val="20"/>
        </w:rPr>
        <w:t>hydrogels under NIR light irradiation (808 nm, 1 W</w:t>
      </w:r>
      <w:r>
        <w:rPr>
          <w:rFonts w:hint="eastAsia" w:ascii="Times New Roman" w:hAnsi="Times New Roman" w:cs="Times New Roman"/>
          <w:sz w:val="20"/>
          <w:szCs w:val="20"/>
        </w:rPr>
        <w:t>/</w:t>
      </w:r>
      <w:r>
        <w:rPr>
          <w:rFonts w:ascii="Times New Roman" w:hAnsi="Times New Roman" w:cs="Times New Roman"/>
          <w:sz w:val="20"/>
          <w:szCs w:val="20"/>
        </w:rPr>
        <w:t>cm</w:t>
      </w:r>
      <w:r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>
        <w:rPr>
          <w:rFonts w:ascii="Times New Roman" w:hAnsi="Times New Roman" w:cs="Times New Roman"/>
          <w:sz w:val="20"/>
          <w:szCs w:val="20"/>
        </w:rPr>
        <w:t>)</w:t>
      </w:r>
    </w:p>
    <w:p>
      <w:pPr>
        <w:rPr>
          <w:rFonts w:ascii="Times New Roman" w:hAnsi="Times New Roman" w:cs="Times New Roman"/>
          <w:sz w:val="20"/>
          <w:szCs w:val="20"/>
        </w:rPr>
      </w:pPr>
    </w:p>
    <w:p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sz w:val="20"/>
          <w:szCs w:val="20"/>
        </w:rPr>
        <w:drawing>
          <wp:inline distT="0" distB="0" distL="0" distR="0">
            <wp:extent cx="5274310" cy="3201670"/>
            <wp:effectExtent l="0" t="0" r="2540" b="0"/>
            <wp:docPr id="76941962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9419627" name="图片 4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01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Fig. S1</w:t>
      </w:r>
      <w:r>
        <w:rPr>
          <w:rFonts w:hint="eastAsia" w:ascii="Times New Roman" w:hAnsi="Times New Roman" w:cs="Times New Roman"/>
          <w:b/>
          <w:bCs/>
          <w:sz w:val="20"/>
          <w:szCs w:val="20"/>
          <w:lang w:val="en-US" w:eastAsia="zh-CN"/>
        </w:rPr>
        <w:t>1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Temperature response changes of PSM</w:t>
      </w:r>
      <w:r>
        <w:rPr>
          <w:rFonts w:ascii="Times New Roman" w:hAnsi="Times New Roman" w:cs="Times New Roman"/>
          <w:sz w:val="20"/>
          <w:szCs w:val="20"/>
          <w:vertAlign w:val="subscript"/>
        </w:rPr>
        <w:t>0.6</w:t>
      </w:r>
      <w:r>
        <w:rPr>
          <w:rFonts w:ascii="Times New Roman" w:hAnsi="Times New Roman" w:cs="Times New Roman"/>
          <w:sz w:val="20"/>
          <w:szCs w:val="20"/>
        </w:rPr>
        <w:t xml:space="preserve"> hydrogel under 808 nm NIR light irradiation with </w:t>
      </w:r>
      <w:r>
        <w:rPr>
          <w:rFonts w:ascii="Times New Roman" w:hAnsi="Times New Roman" w:cs="Times New Roman"/>
          <w:b/>
          <w:bCs/>
          <w:sz w:val="20"/>
          <w:szCs w:val="20"/>
        </w:rPr>
        <w:t>a</w:t>
      </w:r>
      <w:r>
        <w:rPr>
          <w:rFonts w:ascii="Times New Roman" w:hAnsi="Times New Roman" w:cs="Times New Roman"/>
          <w:sz w:val="20"/>
          <w:szCs w:val="20"/>
        </w:rPr>
        <w:t xml:space="preserve"> 0.5 W</w:t>
      </w:r>
      <w:r>
        <w:rPr>
          <w:rFonts w:hint="eastAsia" w:ascii="Times New Roman" w:hAnsi="Times New Roman" w:cs="Times New Roman"/>
          <w:sz w:val="20"/>
          <w:szCs w:val="20"/>
        </w:rPr>
        <w:t>/</w:t>
      </w:r>
      <w:r>
        <w:rPr>
          <w:rFonts w:ascii="Times New Roman" w:hAnsi="Times New Roman" w:cs="Times New Roman"/>
          <w:sz w:val="20"/>
          <w:szCs w:val="20"/>
        </w:rPr>
        <w:t>cm</w:t>
      </w:r>
      <w:r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>
        <w:rPr>
          <w:rFonts w:ascii="Times New Roman" w:hAnsi="Times New Roman" w:cs="Times New Roman"/>
          <w:b/>
          <w:bCs/>
          <w:sz w:val="20"/>
          <w:szCs w:val="20"/>
        </w:rPr>
        <w:t>b</w:t>
      </w:r>
      <w:r>
        <w:rPr>
          <w:rFonts w:ascii="Times New Roman" w:hAnsi="Times New Roman" w:cs="Times New Roman"/>
          <w:sz w:val="20"/>
          <w:szCs w:val="20"/>
        </w:rPr>
        <w:t xml:space="preserve"> 1.5 W</w:t>
      </w:r>
      <w:r>
        <w:rPr>
          <w:rFonts w:hint="eastAsia" w:ascii="Times New Roman" w:hAnsi="Times New Roman" w:cs="Times New Roman"/>
          <w:sz w:val="20"/>
          <w:szCs w:val="20"/>
        </w:rPr>
        <w:t>/</w:t>
      </w:r>
      <w:r>
        <w:rPr>
          <w:rFonts w:ascii="Times New Roman" w:hAnsi="Times New Roman" w:cs="Times New Roman"/>
          <w:sz w:val="20"/>
          <w:szCs w:val="20"/>
        </w:rPr>
        <w:t>cm</w:t>
      </w:r>
      <w:r>
        <w:rPr>
          <w:rFonts w:ascii="Times New Roman" w:hAnsi="Times New Roman" w:cs="Times New Roman"/>
          <w:sz w:val="20"/>
          <w:szCs w:val="20"/>
          <w:vertAlign w:val="superscript"/>
        </w:rPr>
        <w:t xml:space="preserve">2 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>
        <w:rPr>
          <w:rFonts w:ascii="Times New Roman" w:hAnsi="Times New Roman" w:cs="Times New Roman"/>
          <w:b/>
          <w:bCs/>
          <w:sz w:val="20"/>
          <w:szCs w:val="20"/>
        </w:rPr>
        <w:t>c</w:t>
      </w:r>
      <w:r>
        <w:rPr>
          <w:rFonts w:ascii="Times New Roman" w:hAnsi="Times New Roman" w:cs="Times New Roman"/>
          <w:sz w:val="20"/>
          <w:szCs w:val="20"/>
        </w:rPr>
        <w:t xml:space="preserve"> 2 W</w:t>
      </w:r>
      <w:r>
        <w:rPr>
          <w:rFonts w:hint="eastAsia" w:ascii="Times New Roman" w:hAnsi="Times New Roman" w:cs="Times New Roman"/>
          <w:sz w:val="20"/>
          <w:szCs w:val="20"/>
        </w:rPr>
        <w:t>/</w:t>
      </w:r>
      <w:r>
        <w:rPr>
          <w:rFonts w:ascii="Times New Roman" w:hAnsi="Times New Roman" w:cs="Times New Roman"/>
          <w:sz w:val="20"/>
          <w:szCs w:val="20"/>
        </w:rPr>
        <w:t>cm</w:t>
      </w:r>
      <w:r>
        <w:rPr>
          <w:rFonts w:ascii="Times New Roman" w:hAnsi="Times New Roman" w:cs="Times New Roman"/>
          <w:sz w:val="20"/>
          <w:szCs w:val="20"/>
          <w:vertAlign w:val="superscript"/>
        </w:rPr>
        <w:t>2</w:t>
      </w:r>
    </w:p>
    <w:p>
      <w:pPr>
        <w:rPr>
          <w:rFonts w:ascii="Times New Roman" w:hAnsi="Times New Roman" w:cs="Times New Roman"/>
          <w:sz w:val="20"/>
          <w:szCs w:val="20"/>
        </w:rPr>
      </w:pPr>
    </w:p>
    <w:p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sz w:val="20"/>
          <w:szCs w:val="20"/>
        </w:rPr>
        <w:drawing>
          <wp:inline distT="0" distB="0" distL="0" distR="0">
            <wp:extent cx="4276725" cy="2130425"/>
            <wp:effectExtent l="0" t="0" r="0" b="3175"/>
            <wp:docPr id="1919456887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9456887" name="图片 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06839" cy="21456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Fig. S1</w:t>
      </w:r>
      <w:r>
        <w:rPr>
          <w:rFonts w:hint="eastAsia" w:ascii="Times New Roman" w:hAnsi="Times New Roman" w:cs="Times New Roman"/>
          <w:b/>
          <w:bCs/>
          <w:sz w:val="20"/>
          <w:szCs w:val="20"/>
          <w:lang w:val="en-US" w:eastAsia="zh-CN"/>
        </w:rPr>
        <w:t>2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Shape deformation of PSM hydrogel actuators coating Ca</w:t>
      </w:r>
      <w:r>
        <w:rPr>
          <w:rFonts w:ascii="Times New Roman" w:hAnsi="Times New Roman" w:cs="Times New Roman"/>
          <w:sz w:val="20"/>
          <w:szCs w:val="20"/>
          <w:vertAlign w:val="superscript"/>
        </w:rPr>
        <w:t>2+</w:t>
      </w:r>
      <w:r>
        <w:rPr>
          <w:rFonts w:ascii="Times New Roman" w:hAnsi="Times New Roman" w:cs="Times New Roman"/>
          <w:sz w:val="20"/>
          <w:szCs w:val="20"/>
        </w:rPr>
        <w:t xml:space="preserve"> in the </w:t>
      </w:r>
      <w:r>
        <w:rPr>
          <w:rFonts w:ascii="Times New Roman" w:hAnsi="Times New Roman" w:cs="Times New Roman"/>
          <w:b/>
          <w:bCs/>
          <w:sz w:val="20"/>
          <w:szCs w:val="20"/>
        </w:rPr>
        <w:t>a</w:t>
      </w:r>
      <w:r>
        <w:rPr>
          <w:rFonts w:ascii="Times New Roman" w:hAnsi="Times New Roman" w:cs="Times New Roman"/>
          <w:sz w:val="20"/>
          <w:szCs w:val="20"/>
        </w:rPr>
        <w:t xml:space="preserve"> bottom and </w:t>
      </w:r>
      <w:r>
        <w:rPr>
          <w:rFonts w:ascii="Times New Roman" w:hAnsi="Times New Roman" w:cs="Times New Roman"/>
          <w:b/>
          <w:bCs/>
          <w:sz w:val="20"/>
          <w:szCs w:val="20"/>
        </w:rPr>
        <w:t>b</w:t>
      </w:r>
      <w:r>
        <w:rPr>
          <w:rFonts w:ascii="Times New Roman" w:hAnsi="Times New Roman" w:cs="Times New Roman"/>
          <w:sz w:val="20"/>
          <w:szCs w:val="20"/>
        </w:rPr>
        <w:t xml:space="preserve"> top directions</w:t>
      </w:r>
    </w:p>
    <w:p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sz w:val="20"/>
          <w:szCs w:val="20"/>
        </w:rPr>
        <w:drawing>
          <wp:inline distT="0" distB="0" distL="0" distR="0">
            <wp:extent cx="2146935" cy="1276985"/>
            <wp:effectExtent l="0" t="0" r="5715" b="0"/>
            <wp:docPr id="1194916002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4916002" name="图片 6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67" t="22982" r="46749" b="38942"/>
                    <a:stretch>
                      <a:fillRect/>
                    </a:stretch>
                  </pic:blipFill>
                  <pic:spPr>
                    <a:xfrm>
                      <a:off x="0" y="0"/>
                      <a:ext cx="2155413" cy="12820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Fig. S1</w:t>
      </w:r>
      <w:r>
        <w:rPr>
          <w:rFonts w:hint="eastAsia" w:ascii="Times New Roman" w:hAnsi="Times New Roman" w:cs="Times New Roman"/>
          <w:b/>
          <w:bCs/>
          <w:sz w:val="20"/>
          <w:szCs w:val="20"/>
          <w:lang w:val="en-US" w:eastAsia="zh-CN"/>
        </w:rPr>
        <w:t>3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Diagram of encoded information written by coating Ca</w:t>
      </w:r>
      <w:r>
        <w:rPr>
          <w:rFonts w:ascii="Times New Roman" w:hAnsi="Times New Roman" w:cs="Times New Roman"/>
          <w:sz w:val="20"/>
          <w:szCs w:val="20"/>
          <w:vertAlign w:val="superscript"/>
        </w:rPr>
        <w:t>2+</w:t>
      </w:r>
    </w:p>
    <w:p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sz w:val="20"/>
          <w:szCs w:val="20"/>
        </w:rPr>
        <w:drawing>
          <wp:inline distT="0" distB="0" distL="0" distR="0">
            <wp:extent cx="5274310" cy="1427480"/>
            <wp:effectExtent l="0" t="0" r="2540" b="1270"/>
            <wp:docPr id="1003026680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3026680" name="图片 7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27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Fig. S1</w:t>
      </w:r>
      <w:r>
        <w:rPr>
          <w:rFonts w:hint="eastAsia" w:ascii="Times New Roman" w:hAnsi="Times New Roman" w:cs="Times New Roman"/>
          <w:b/>
          <w:bCs/>
          <w:sz w:val="20"/>
          <w:szCs w:val="20"/>
          <w:lang w:val="en-US" w:eastAsia="zh-CN"/>
        </w:rPr>
        <w:t>4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Brightness changes of LED in the undeformed, stretched and folded states of PSM hydrogels</w:t>
      </w:r>
    </w:p>
    <w:p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sz w:val="20"/>
          <w:szCs w:val="20"/>
        </w:rPr>
        <w:drawing>
          <wp:inline distT="0" distB="0" distL="0" distR="0">
            <wp:extent cx="5274310" cy="1449705"/>
            <wp:effectExtent l="0" t="0" r="2540" b="0"/>
            <wp:docPr id="281687817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1687817" name="图片 8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49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Fig. S1</w:t>
      </w:r>
      <w:r>
        <w:rPr>
          <w:rFonts w:hint="eastAsia" w:ascii="Times New Roman" w:hAnsi="Times New Roman" w:cs="Times New Roman"/>
          <w:b/>
          <w:bCs/>
          <w:sz w:val="20"/>
          <w:szCs w:val="20"/>
          <w:lang w:val="en-US" w:eastAsia="zh-CN"/>
        </w:rPr>
        <w:t>5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a</w:t>
      </w:r>
      <w:r>
        <w:rPr>
          <w:rFonts w:ascii="Times New Roman" w:hAnsi="Times New Roman" w:cs="Times New Roman"/>
          <w:sz w:val="20"/>
          <w:szCs w:val="20"/>
        </w:rPr>
        <w:t xml:space="preserve"> Photothermal sensing mechanism. </w:t>
      </w:r>
      <w:r>
        <w:rPr>
          <w:rFonts w:ascii="Times New Roman" w:hAnsi="Times New Roman" w:cs="Times New Roman"/>
          <w:b/>
          <w:bCs/>
          <w:sz w:val="20"/>
          <w:szCs w:val="20"/>
        </w:rPr>
        <w:t>b</w:t>
      </w:r>
      <w:r>
        <w:rPr>
          <w:rFonts w:ascii="Times New Roman" w:hAnsi="Times New Roman" w:cs="Times New Roman"/>
          <w:sz w:val="20"/>
          <w:szCs w:val="20"/>
        </w:rPr>
        <w:t xml:space="preserve"> The relative resistance changes of PSM hydrogel under NIR irradiation</w:t>
      </w:r>
    </w:p>
    <w:p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sz w:val="20"/>
          <w:szCs w:val="20"/>
        </w:rPr>
        <w:drawing>
          <wp:inline distT="0" distB="0" distL="0" distR="0">
            <wp:extent cx="5274310" cy="1478280"/>
            <wp:effectExtent l="0" t="0" r="2540" b="7620"/>
            <wp:docPr id="1875659874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5659874" name="图片 9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78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Fig. S1</w:t>
      </w:r>
      <w:r>
        <w:rPr>
          <w:rFonts w:hint="eastAsia" w:ascii="Times New Roman" w:hAnsi="Times New Roman" w:cs="Times New Roman"/>
          <w:b/>
          <w:bCs/>
          <w:sz w:val="20"/>
          <w:szCs w:val="20"/>
          <w:lang w:val="en-US" w:eastAsia="zh-CN"/>
        </w:rPr>
        <w:t>6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The relative resistance changes of PSM hydrogel under different joints include </w:t>
      </w:r>
      <w:r>
        <w:rPr>
          <w:rFonts w:ascii="Times New Roman" w:hAnsi="Times New Roman" w:cs="Times New Roman"/>
          <w:b/>
          <w:bCs/>
          <w:sz w:val="20"/>
          <w:szCs w:val="20"/>
        </w:rPr>
        <w:t>a</w:t>
      </w:r>
      <w:r>
        <w:rPr>
          <w:rFonts w:ascii="Times New Roman" w:hAnsi="Times New Roman" w:cs="Times New Roman"/>
          <w:sz w:val="20"/>
          <w:szCs w:val="20"/>
        </w:rPr>
        <w:t xml:space="preserve"> wrist, </w:t>
      </w:r>
      <w:r>
        <w:rPr>
          <w:rFonts w:ascii="Times New Roman" w:hAnsi="Times New Roman" w:cs="Times New Roman"/>
          <w:b/>
          <w:bCs/>
          <w:sz w:val="20"/>
          <w:szCs w:val="20"/>
        </w:rPr>
        <w:t>b</w:t>
      </w:r>
      <w:r>
        <w:rPr>
          <w:rFonts w:ascii="Times New Roman" w:hAnsi="Times New Roman" w:cs="Times New Roman"/>
          <w:sz w:val="20"/>
          <w:szCs w:val="20"/>
        </w:rPr>
        <w:t xml:space="preserve"> arm and </w:t>
      </w:r>
      <w:r>
        <w:rPr>
          <w:rFonts w:ascii="Times New Roman" w:hAnsi="Times New Roman" w:cs="Times New Roman"/>
          <w:b/>
          <w:bCs/>
          <w:sz w:val="20"/>
          <w:szCs w:val="20"/>
        </w:rPr>
        <w:t>c</w:t>
      </w:r>
      <w:r>
        <w:rPr>
          <w:rFonts w:ascii="Times New Roman" w:hAnsi="Times New Roman" w:cs="Times New Roman"/>
          <w:sz w:val="20"/>
          <w:szCs w:val="20"/>
        </w:rPr>
        <w:t xml:space="preserve"> leg</w:t>
      </w:r>
    </w:p>
    <w:p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sz w:val="20"/>
          <w:szCs w:val="20"/>
        </w:rPr>
        <w:drawing>
          <wp:inline distT="0" distB="0" distL="0" distR="0">
            <wp:extent cx="4511675" cy="2326640"/>
            <wp:effectExtent l="0" t="0" r="3175" b="0"/>
            <wp:docPr id="88551931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5519312" name="图片 2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23766" cy="23326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Fig. S1</w:t>
      </w:r>
      <w:r>
        <w:rPr>
          <w:rFonts w:hint="eastAsia" w:ascii="Times New Roman" w:hAnsi="Times New Roman" w:cs="Times New Roman"/>
          <w:b/>
          <w:bCs/>
          <w:sz w:val="20"/>
          <w:szCs w:val="20"/>
          <w:lang w:val="en-US" w:eastAsia="zh-CN"/>
        </w:rPr>
        <w:t>7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Hardware schematic of </w:t>
      </w:r>
      <w:r>
        <w:rPr>
          <w:rFonts w:ascii="Times New Roman" w:hAnsi="Times New Roman" w:cs="Times New Roman"/>
          <w:b/>
          <w:bCs/>
          <w:sz w:val="20"/>
          <w:szCs w:val="20"/>
        </w:rPr>
        <w:t>a</w:t>
      </w:r>
      <w:r>
        <w:rPr>
          <w:rFonts w:ascii="Times New Roman" w:hAnsi="Times New Roman" w:cs="Times New Roman"/>
          <w:sz w:val="20"/>
          <w:szCs w:val="20"/>
        </w:rPr>
        <w:t xml:space="preserve"> PSM hydrogel and the signal transmission system, </w:t>
      </w:r>
      <w:r>
        <w:rPr>
          <w:rFonts w:ascii="Times New Roman" w:hAnsi="Times New Roman" w:cs="Times New Roman"/>
          <w:b/>
          <w:bCs/>
          <w:sz w:val="20"/>
          <w:szCs w:val="20"/>
        </w:rPr>
        <w:t>b</w:t>
      </w:r>
      <w:r>
        <w:rPr>
          <w:rFonts w:ascii="Times New Roman" w:hAnsi="Times New Roman" w:cs="Times New Roman"/>
          <w:sz w:val="20"/>
          <w:szCs w:val="20"/>
        </w:rPr>
        <w:t xml:space="preserve"> Robotic hand and the signal receiver system</w:t>
      </w:r>
    </w:p>
    <w:p>
      <w:pPr>
        <w:rPr>
          <w:rFonts w:ascii="Times New Roman" w:hAnsi="Times New Roman" w:cs="Times New Roman"/>
          <w:sz w:val="20"/>
          <w:szCs w:val="20"/>
        </w:rPr>
      </w:pPr>
    </w:p>
    <w:p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>
      <w:pPr>
        <w:widowControl/>
        <w:jc w:val="left"/>
        <w:rPr>
          <w:rFonts w:ascii="Times New Roman" w:hAnsi="Times New Roman" w:eastAsia="MS Mincho"/>
          <w:kern w:val="0"/>
          <w:sz w:val="20"/>
          <w:szCs w:val="20"/>
        </w:rPr>
      </w:pPr>
      <w:r>
        <w:rPr>
          <w:rFonts w:ascii="Times New Roman" w:hAnsi="Times New Roman" w:eastAsia="MS Mincho"/>
          <w:b/>
          <w:bCs/>
          <w:kern w:val="0"/>
          <w:sz w:val="20"/>
          <w:szCs w:val="20"/>
        </w:rPr>
        <w:t>Table S1.</w:t>
      </w:r>
      <w:r>
        <w:rPr>
          <w:rFonts w:ascii="Times New Roman" w:hAnsi="Times New Roman" w:eastAsia="MS Mincho"/>
          <w:kern w:val="0"/>
          <w:sz w:val="20"/>
          <w:szCs w:val="20"/>
        </w:rPr>
        <w:t xml:space="preserve"> Summarization for the bending spe</w:t>
      </w:r>
      <w:r>
        <w:rPr>
          <w:rFonts w:hint="eastAsia" w:ascii="Times New Roman" w:hAnsi="Times New Roman" w:eastAsia="MS Mincho"/>
          <w:kern w:val="0"/>
          <w:sz w:val="20"/>
          <w:szCs w:val="20"/>
        </w:rPr>
        <w:t>e</w:t>
      </w:r>
      <w:r>
        <w:rPr>
          <w:rFonts w:ascii="Times New Roman" w:hAnsi="Times New Roman" w:eastAsia="MS Mincho"/>
          <w:kern w:val="0"/>
          <w:sz w:val="20"/>
          <w:szCs w:val="20"/>
        </w:rPr>
        <w:t>d and bending</w:t>
      </w:r>
      <w:r>
        <w:rPr>
          <w:rFonts w:ascii="Times New Roman" w:hAnsi="Times New Roman"/>
          <w:color w:val="000000"/>
          <w:kern w:val="0"/>
          <w:sz w:val="20"/>
          <w:szCs w:val="20"/>
        </w:rPr>
        <w:t xml:space="preserve"> amplitude</w:t>
      </w:r>
      <w:r>
        <w:rPr>
          <w:rFonts w:ascii="Times New Roman" w:hAnsi="Times New Roman" w:eastAsia="MS Mincho"/>
          <w:kern w:val="0"/>
          <w:sz w:val="20"/>
          <w:szCs w:val="20"/>
        </w:rPr>
        <w:t xml:space="preserve"> of hydrogel actuators</w:t>
      </w:r>
    </w:p>
    <w:p>
      <w:pPr>
        <w:widowControl/>
        <w:jc w:val="left"/>
        <w:rPr>
          <w:rFonts w:ascii="Times New Roman" w:hAnsi="Times New Roman" w:eastAsia="MS Mincho"/>
          <w:kern w:val="0"/>
          <w:sz w:val="20"/>
          <w:szCs w:val="20"/>
        </w:rPr>
      </w:pPr>
      <w:r>
        <w:rPr>
          <w:rFonts w:ascii="Times New Roman" w:hAnsi="Times New Roman" w:eastAsia="MS Mincho"/>
          <w:kern w:val="0"/>
          <w:sz w:val="20"/>
          <w:szCs w:val="20"/>
        </w:rPr>
        <w:t xml:space="preserve"> </w:t>
      </w:r>
    </w:p>
    <w:tbl>
      <w:tblPr>
        <w:tblStyle w:val="4"/>
        <w:tblW w:w="854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1"/>
        <w:gridCol w:w="1276"/>
        <w:gridCol w:w="1134"/>
        <w:gridCol w:w="1276"/>
        <w:gridCol w:w="1417"/>
        <w:gridCol w:w="1418"/>
        <w:gridCol w:w="76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251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Material</w:t>
            </w:r>
          </w:p>
        </w:tc>
        <w:tc>
          <w:tcPr>
            <w:tcW w:w="1276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Structure</w:t>
            </w:r>
          </w:p>
        </w:tc>
        <w:tc>
          <w:tcPr>
            <w:tcW w:w="1134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Bending speed</w:t>
            </w:r>
          </w:p>
        </w:tc>
        <w:tc>
          <w:tcPr>
            <w:tcW w:w="1276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Bending amplitude</w:t>
            </w:r>
          </w:p>
        </w:tc>
        <w:tc>
          <w:tcPr>
            <w:tcW w:w="1417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MS Mincho"/>
                <w:b/>
                <w:bCs/>
                <w:kern w:val="0"/>
                <w:sz w:val="20"/>
                <w:szCs w:val="20"/>
              </w:rPr>
              <w:t>Stimulation</w:t>
            </w:r>
            <w:r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 conditions</w:t>
            </w:r>
          </w:p>
        </w:tc>
        <w:tc>
          <w:tcPr>
            <w:tcW w:w="1418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Sample size </w:t>
            </w:r>
            <w:r>
              <w:rPr>
                <w:rFonts w:hint="eastAsia"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(</w:t>
            </w:r>
            <w:r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mm</w:t>
            </w:r>
            <w:r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  <w:vertAlign w:val="superscript"/>
              </w:rPr>
              <w:t>3</w:t>
            </w:r>
            <w:r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768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R</w:t>
            </w:r>
            <w:r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ef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251" w:type="dxa"/>
            <w:tcBorders>
              <w:top w:val="single" w:color="auto" w:sz="8" w:space="0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PNIPAM/</w:t>
            </w:r>
          </w:p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XLG/</w:t>
            </w:r>
          </w:p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HEA</w:t>
            </w:r>
          </w:p>
        </w:tc>
        <w:tc>
          <w:tcPr>
            <w:tcW w:w="1276" w:type="dxa"/>
            <w:tcBorders>
              <w:top w:val="single" w:color="auto" w:sz="8" w:space="0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Gradient </w:t>
            </w:r>
          </w:p>
        </w:tc>
        <w:tc>
          <w:tcPr>
            <w:tcW w:w="1134" w:type="dxa"/>
            <w:tcBorders>
              <w:top w:val="single" w:color="auto" w:sz="8" w:space="0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9.8°/s</w:t>
            </w:r>
          </w:p>
        </w:tc>
        <w:tc>
          <w:tcPr>
            <w:tcW w:w="1276" w:type="dxa"/>
            <w:tcBorders>
              <w:top w:val="single" w:color="auto" w:sz="8" w:space="0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206°</w:t>
            </w:r>
          </w:p>
        </w:tc>
        <w:tc>
          <w:tcPr>
            <w:tcW w:w="1417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MS Mincho"/>
                <w:kern w:val="0"/>
                <w:sz w:val="20"/>
                <w:szCs w:val="20"/>
              </w:rPr>
              <w:t>50 ℃ water</w:t>
            </w:r>
          </w:p>
        </w:tc>
        <w:tc>
          <w:tcPr>
            <w:tcW w:w="1418" w:type="dxa"/>
            <w:tcBorders>
              <w:top w:val="single" w:color="auto" w:sz="8" w:space="0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25 × 5 × 1</w:t>
            </w:r>
          </w:p>
        </w:tc>
        <w:tc>
          <w:tcPr>
            <w:tcW w:w="768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 [S1]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PNIPAM</w:t>
            </w:r>
          </w:p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/XLG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Gradient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2.38°/s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57.2°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MS Mincho"/>
                <w:kern w:val="0"/>
                <w:sz w:val="20"/>
                <w:szCs w:val="20"/>
              </w:rPr>
              <w:t>50 ℃ water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25 × 5 × 1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 [S2]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P(NIPAM-co-SPA)/</w:t>
            </w:r>
          </w:p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TCNC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Gradient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10.2°/s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225°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MS Mincho"/>
                <w:kern w:val="0"/>
                <w:sz w:val="20"/>
                <w:szCs w:val="20"/>
              </w:rPr>
              <w:t>60 ℃ water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25 × 5 × 0.3 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 [S3]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PNIPAM/</w:t>
            </w:r>
          </w:p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XLG/NFC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Bilayer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9°/s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180°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MS Mincho"/>
                <w:kern w:val="0"/>
                <w:sz w:val="20"/>
                <w:szCs w:val="20"/>
              </w:rPr>
              <w:t>50 ℃ water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65 × 7 × 2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 [S4]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PNIPAM/</w:t>
            </w:r>
          </w:p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PAAM-</w:t>
            </w:r>
          </w:p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PTCA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Bilayer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6.1°/s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305°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MS Mincho"/>
                <w:kern w:val="0"/>
                <w:sz w:val="20"/>
                <w:szCs w:val="20"/>
              </w:rPr>
              <w:t>45 ℃ water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——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 [S5]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PNIPAM/</w:t>
            </w:r>
          </w:p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XLG/</w:t>
            </w:r>
          </w:p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MoO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Bilayer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3°/s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90°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MS Mincho"/>
                <w:kern w:val="0"/>
                <w:sz w:val="20"/>
                <w:szCs w:val="20"/>
              </w:rPr>
              <w:t>NIR 808 nm 0.8 W</w:t>
            </w:r>
            <w:r>
              <w:rPr>
                <w:rFonts w:hint="eastAsia" w:ascii="Times New Roman" w:hAnsi="Times New Roman" w:eastAsia="宋体"/>
                <w:kern w:val="0"/>
                <w:sz w:val="20"/>
                <w:szCs w:val="20"/>
                <w:lang w:val="en-US" w:eastAsia="zh-CN"/>
              </w:rPr>
              <w:t>/</w:t>
            </w:r>
            <w:r>
              <w:rPr>
                <w:rFonts w:ascii="Times New Roman" w:hAnsi="Times New Roman" w:eastAsia="MS Mincho"/>
                <w:kern w:val="0"/>
                <w:sz w:val="20"/>
                <w:szCs w:val="20"/>
              </w:rPr>
              <w:t>cm</w:t>
            </w:r>
            <w:r>
              <w:rPr>
                <w:rFonts w:ascii="Times New Roman" w:hAnsi="Times New Roman" w:eastAsia="MS Mincho"/>
                <w:kern w:val="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——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 [S6]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PNIPAM/PVA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Bilayer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2.1°/s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65°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MS Mincho"/>
                <w:kern w:val="0"/>
                <w:sz w:val="20"/>
                <w:szCs w:val="20"/>
              </w:rPr>
              <w:t>NIR 808 nm 0.2 W/cm</w:t>
            </w:r>
            <w:r>
              <w:rPr>
                <w:rFonts w:ascii="Times New Roman" w:hAnsi="Times New Roman" w:eastAsia="MS Mincho"/>
                <w:kern w:val="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——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 [S7]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251" w:type="dxa"/>
            <w:tcBorders>
              <w:top w:val="nil"/>
              <w:left w:val="nil"/>
              <w:bottom w:val="single" w:color="auto" w:sz="8" w:space="0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0"/>
                <w:szCs w:val="20"/>
              </w:rPr>
              <w:t>PNIPAM/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 SA/MoO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Gradient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8" w:space="0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21°/s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336°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8" w:space="0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MS Mincho"/>
                <w:kern w:val="0"/>
                <w:sz w:val="20"/>
                <w:szCs w:val="20"/>
              </w:rPr>
              <w:t>50 ℃ water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8" w:space="0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50 × 10 × 1</w:t>
            </w:r>
          </w:p>
        </w:tc>
        <w:tc>
          <w:tcPr>
            <w:tcW w:w="768" w:type="dxa"/>
            <w:tcBorders>
              <w:top w:val="nil"/>
              <w:left w:val="nil"/>
              <w:bottom w:val="single" w:color="auto" w:sz="8" w:space="0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0"/>
                <w:szCs w:val="20"/>
              </w:rPr>
              <w:t>This work</w:t>
            </w:r>
          </w:p>
        </w:tc>
      </w:tr>
    </w:tbl>
    <w:p>
      <w:pPr>
        <w:widowControl/>
        <w:jc w:val="left"/>
        <w:rPr>
          <w:rFonts w:ascii="Times New Roman" w:hAnsi="Times New Roman" w:eastAsia="MS Mincho" w:cs="Times New Roman"/>
          <w:kern w:val="0"/>
          <w:sz w:val="20"/>
          <w:szCs w:val="20"/>
        </w:rPr>
      </w:pPr>
      <w:r>
        <w:rPr>
          <w:rFonts w:ascii="Times New Roman" w:hAnsi="Times New Roman" w:eastAsia="MS Mincho"/>
          <w:kern w:val="0"/>
          <w:sz w:val="20"/>
          <w:szCs w:val="20"/>
        </w:rPr>
        <w:t xml:space="preserve"> </w:t>
      </w:r>
    </w:p>
    <w:p>
      <w:pPr>
        <w:widowControl/>
        <w:rPr>
          <w:rFonts w:ascii="Times New Roman" w:hAnsi="Times New Roman" w:eastAsia="MS Mincho"/>
          <w:kern w:val="0"/>
          <w:sz w:val="20"/>
          <w:szCs w:val="20"/>
        </w:rPr>
      </w:pPr>
      <w:r>
        <w:rPr>
          <w:rFonts w:ascii="Times New Roman" w:hAnsi="Times New Roman" w:eastAsia="MS Mincho"/>
          <w:kern w:val="0"/>
          <w:sz w:val="20"/>
          <w:szCs w:val="20"/>
        </w:rPr>
        <w:t xml:space="preserve">Notes: </w:t>
      </w:r>
      <w:r>
        <w:rPr>
          <w:rFonts w:ascii="Times New Roman" w:hAnsi="Times New Roman"/>
          <w:kern w:val="0"/>
          <w:sz w:val="20"/>
          <w:szCs w:val="20"/>
        </w:rPr>
        <w:t>The comparison is only rough because these hydrogels have different sample sizes and stimulation conditions</w:t>
      </w:r>
    </w:p>
    <w:p>
      <w:pPr>
        <w:rPr>
          <w:rFonts w:ascii="Times New Roman" w:hAnsi="Times New Roman" w:cs="Times New Roman"/>
          <w:sz w:val="20"/>
          <w:szCs w:val="20"/>
        </w:rPr>
      </w:pPr>
    </w:p>
    <w:p>
      <w:pPr>
        <w:rPr>
          <w:rFonts w:ascii="Times New Roman" w:hAnsi="Times New Roman" w:cs="Times New Roman"/>
          <w:sz w:val="20"/>
          <w:szCs w:val="20"/>
        </w:rPr>
      </w:pPr>
    </w:p>
    <w:p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>
      <w:pPr>
        <w:widowControl/>
        <w:rPr>
          <w:rFonts w:ascii="Times New Roman" w:hAnsi="Times New Roman" w:eastAsia="MS Mincho"/>
          <w:kern w:val="0"/>
          <w:sz w:val="20"/>
          <w:szCs w:val="20"/>
        </w:rPr>
      </w:pPr>
      <w:r>
        <w:rPr>
          <w:rFonts w:ascii="Times New Roman" w:hAnsi="Times New Roman" w:eastAsia="MS Mincho"/>
          <w:b/>
          <w:bCs/>
          <w:kern w:val="0"/>
          <w:sz w:val="20"/>
          <w:szCs w:val="20"/>
        </w:rPr>
        <w:t>Table S2.</w:t>
      </w:r>
      <w:r>
        <w:rPr>
          <w:rFonts w:ascii="Times New Roman" w:hAnsi="Times New Roman" w:eastAsia="MS Mincho"/>
          <w:kern w:val="0"/>
          <w:sz w:val="20"/>
          <w:szCs w:val="20"/>
        </w:rPr>
        <w:t xml:space="preserve"> Comparison of the main conductive parameters of PSM hydrogel and conductive hydrogel strain sensors in previous mainstream work</w:t>
      </w:r>
    </w:p>
    <w:p>
      <w:pPr>
        <w:widowControl/>
        <w:jc w:val="left"/>
        <w:rPr>
          <w:rFonts w:ascii="Times New Roman" w:hAnsi="Times New Roman" w:eastAsia="MS Mincho"/>
          <w:kern w:val="0"/>
          <w:sz w:val="20"/>
          <w:szCs w:val="20"/>
        </w:rPr>
      </w:pPr>
      <w:r>
        <w:rPr>
          <w:rFonts w:ascii="Times New Roman" w:hAnsi="Times New Roman" w:eastAsia="MS Mincho"/>
          <w:kern w:val="0"/>
          <w:sz w:val="20"/>
          <w:szCs w:val="20"/>
        </w:rPr>
        <w:t xml:space="preserve"> </w:t>
      </w:r>
    </w:p>
    <w:tbl>
      <w:tblPr>
        <w:tblStyle w:val="4"/>
        <w:tblW w:w="850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07"/>
        <w:gridCol w:w="1134"/>
        <w:gridCol w:w="1126"/>
        <w:gridCol w:w="1470"/>
        <w:gridCol w:w="1418"/>
        <w:gridCol w:w="84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507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Material</w:t>
            </w:r>
          </w:p>
        </w:tc>
        <w:tc>
          <w:tcPr>
            <w:tcW w:w="1134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Strain (%)</w:t>
            </w:r>
          </w:p>
        </w:tc>
        <w:tc>
          <w:tcPr>
            <w:tcW w:w="1126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Gauge Factor</w:t>
            </w:r>
          </w:p>
        </w:tc>
        <w:tc>
          <w:tcPr>
            <w:tcW w:w="1470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Linear or Nonlinear</w:t>
            </w:r>
          </w:p>
        </w:tc>
        <w:tc>
          <w:tcPr>
            <w:tcW w:w="1418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Conductive mechanism</w:t>
            </w:r>
          </w:p>
        </w:tc>
        <w:tc>
          <w:tcPr>
            <w:tcW w:w="845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R</w:t>
            </w:r>
            <w:r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ef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507" w:type="dxa"/>
            <w:tcBorders>
              <w:top w:val="single" w:color="auto" w:sz="8" w:space="0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MS Mincho"/>
                <w:kern w:val="0"/>
                <w:sz w:val="20"/>
                <w:szCs w:val="20"/>
              </w:rPr>
              <w:t>PAA/NCT</w:t>
            </w:r>
          </w:p>
        </w:tc>
        <w:tc>
          <w:tcPr>
            <w:tcW w:w="1134" w:type="dxa"/>
            <w:tcBorders>
              <w:top w:val="single" w:color="auto" w:sz="8" w:space="0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MS Mincho"/>
                <w:color w:val="000000"/>
                <w:kern w:val="0"/>
                <w:sz w:val="20"/>
                <w:szCs w:val="20"/>
              </w:rPr>
              <w:t>500</w:t>
            </w:r>
          </w:p>
        </w:tc>
        <w:tc>
          <w:tcPr>
            <w:tcW w:w="1126" w:type="dxa"/>
            <w:tcBorders>
              <w:top w:val="single" w:color="auto" w:sz="8" w:space="0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MS Mincho"/>
                <w:color w:val="000000"/>
                <w:kern w:val="0"/>
                <w:sz w:val="20"/>
                <w:szCs w:val="20"/>
              </w:rPr>
              <w:t>2.69</w:t>
            </w:r>
          </w:p>
        </w:tc>
        <w:tc>
          <w:tcPr>
            <w:tcW w:w="1470" w:type="dxa"/>
            <w:tcBorders>
              <w:top w:val="single" w:color="auto" w:sz="8" w:space="0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MS Mincho"/>
                <w:color w:val="000000"/>
                <w:kern w:val="0"/>
                <w:sz w:val="20"/>
                <w:szCs w:val="20"/>
              </w:rPr>
              <w:t>Linear</w:t>
            </w:r>
          </w:p>
        </w:tc>
        <w:tc>
          <w:tcPr>
            <w:tcW w:w="1418" w:type="dxa"/>
            <w:tcBorders>
              <w:top w:val="single" w:color="auto" w:sz="8" w:space="0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MS Mincho"/>
                <w:color w:val="000000"/>
                <w:kern w:val="0"/>
                <w:sz w:val="20"/>
                <w:szCs w:val="20"/>
              </w:rPr>
              <w:t>Ionic conduction</w:t>
            </w:r>
          </w:p>
        </w:tc>
        <w:tc>
          <w:tcPr>
            <w:tcW w:w="845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 [S8]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widowControl/>
              <w:jc w:val="center"/>
              <w:rPr>
                <w:rFonts w:ascii="Times New Roman" w:hAnsi="Times New Roman" w:eastAsia="MS Mincho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MS Mincho"/>
                <w:kern w:val="0"/>
                <w:sz w:val="20"/>
                <w:szCs w:val="20"/>
              </w:rPr>
              <w:t xml:space="preserve"> TA@HAP NWs/PVA(W/EG)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MS Mincho"/>
                <w:color w:val="000000"/>
                <w:kern w:val="0"/>
                <w:sz w:val="20"/>
                <w:szCs w:val="20"/>
              </w:rPr>
              <w:t>350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MS Mincho"/>
                <w:color w:val="000000"/>
                <w:kern w:val="0"/>
                <w:sz w:val="20"/>
                <w:szCs w:val="20"/>
              </w:rPr>
              <w:t>2.84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MS Mincho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MS Mincho"/>
                <w:color w:val="000000"/>
                <w:kern w:val="0"/>
                <w:sz w:val="20"/>
                <w:szCs w:val="20"/>
              </w:rPr>
              <w:t>Linear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MS Mincho"/>
                <w:color w:val="000000"/>
                <w:kern w:val="0"/>
                <w:sz w:val="20"/>
                <w:szCs w:val="20"/>
              </w:rPr>
              <w:t>Ionic conduction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 [S9]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507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PAAM/SA/LiCl/CaCl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vertAlign w:val="subscript"/>
              </w:rPr>
              <w:t>2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/glycerin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0-100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0.45</w:t>
            </w:r>
          </w:p>
        </w:tc>
        <w:tc>
          <w:tcPr>
            <w:tcW w:w="1470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Nonlinear</w:t>
            </w:r>
          </w:p>
        </w:tc>
        <w:tc>
          <w:tcPr>
            <w:tcW w:w="1418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MS Mincho"/>
                <w:color w:val="000000"/>
                <w:kern w:val="0"/>
                <w:sz w:val="20"/>
                <w:szCs w:val="20"/>
              </w:rPr>
              <w:t>Ionic conduction</w:t>
            </w:r>
          </w:p>
        </w:tc>
        <w:tc>
          <w:tcPr>
            <w:tcW w:w="845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 [S10]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507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200-300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2.31</w:t>
            </w:r>
          </w:p>
        </w:tc>
        <w:tc>
          <w:tcPr>
            <w:tcW w:w="147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45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507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MS Mincho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MS Mincho"/>
                <w:kern w:val="0"/>
                <w:sz w:val="20"/>
                <w:szCs w:val="20"/>
              </w:rPr>
              <w:t>[EMIm][DCA]/WPU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MS Mincho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MS Mincho"/>
                <w:color w:val="000000"/>
                <w:kern w:val="0"/>
                <w:sz w:val="20"/>
                <w:szCs w:val="20"/>
              </w:rPr>
              <w:t>0-30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MS Mincho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MS Mincho"/>
                <w:color w:val="000000"/>
                <w:kern w:val="0"/>
                <w:sz w:val="20"/>
                <w:szCs w:val="20"/>
              </w:rPr>
              <w:t>0.53</w:t>
            </w:r>
          </w:p>
        </w:tc>
        <w:tc>
          <w:tcPr>
            <w:tcW w:w="1470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Nonlinear</w:t>
            </w:r>
          </w:p>
        </w:tc>
        <w:tc>
          <w:tcPr>
            <w:tcW w:w="1418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MS Mincho"/>
                <w:color w:val="000000"/>
                <w:kern w:val="0"/>
                <w:sz w:val="20"/>
                <w:szCs w:val="20"/>
              </w:rPr>
              <w:t>Ionic conduction</w:t>
            </w:r>
          </w:p>
        </w:tc>
        <w:tc>
          <w:tcPr>
            <w:tcW w:w="845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 [S11]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507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MS Mincho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MS Mincho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MS Mincho"/>
                <w:color w:val="000000"/>
                <w:kern w:val="0"/>
                <w:sz w:val="20"/>
                <w:szCs w:val="20"/>
              </w:rPr>
              <w:t>30-100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MS Mincho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MS Mincho"/>
                <w:color w:val="000000"/>
                <w:kern w:val="0"/>
                <w:sz w:val="20"/>
                <w:szCs w:val="20"/>
              </w:rPr>
              <w:t>0.83</w:t>
            </w:r>
          </w:p>
        </w:tc>
        <w:tc>
          <w:tcPr>
            <w:tcW w:w="147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45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507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MS Mincho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MS Mincho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MS Mincho"/>
                <w:color w:val="000000"/>
                <w:kern w:val="0"/>
                <w:sz w:val="20"/>
                <w:szCs w:val="20"/>
              </w:rPr>
              <w:t>100-200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MS Mincho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MS Mincho"/>
                <w:color w:val="000000"/>
                <w:kern w:val="0"/>
                <w:sz w:val="20"/>
                <w:szCs w:val="20"/>
              </w:rPr>
              <w:t>1.38</w:t>
            </w:r>
          </w:p>
        </w:tc>
        <w:tc>
          <w:tcPr>
            <w:tcW w:w="147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45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HF(PVA-C/P)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MS Mincho"/>
                <w:color w:val="000000"/>
                <w:kern w:val="0"/>
                <w:sz w:val="20"/>
                <w:szCs w:val="20"/>
              </w:rPr>
              <w:t>400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MS Mincho"/>
                <w:color w:val="000000"/>
                <w:kern w:val="0"/>
                <w:sz w:val="20"/>
                <w:szCs w:val="20"/>
              </w:rPr>
              <w:t>2.1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MS Mincho"/>
                <w:color w:val="000000"/>
                <w:kern w:val="0"/>
                <w:sz w:val="20"/>
                <w:szCs w:val="20"/>
              </w:rPr>
              <w:t>Linear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MS Mincho"/>
                <w:color w:val="000000"/>
                <w:kern w:val="0"/>
                <w:sz w:val="20"/>
                <w:szCs w:val="20"/>
              </w:rPr>
              <w:t>Electronic conduction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 [S12]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MS Mincho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MWCNTs-PDMS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MS Mincho"/>
                <w:color w:val="000000"/>
                <w:kern w:val="0"/>
                <w:sz w:val="20"/>
                <w:szCs w:val="20"/>
              </w:rPr>
              <w:t>160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MS Mincho"/>
                <w:color w:val="000000"/>
                <w:kern w:val="0"/>
                <w:sz w:val="20"/>
                <w:szCs w:val="20"/>
              </w:rPr>
              <w:t>3.77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MS Mincho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MS Mincho"/>
                <w:color w:val="000000"/>
                <w:kern w:val="0"/>
                <w:sz w:val="20"/>
                <w:szCs w:val="20"/>
              </w:rPr>
              <w:t>Linear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MS Mincho"/>
                <w:color w:val="000000"/>
                <w:kern w:val="0"/>
                <w:sz w:val="20"/>
                <w:szCs w:val="20"/>
              </w:rPr>
              <w:t>Electronic conduction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 [S13]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507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PVA-CBA/PAAm/TA/</w:t>
            </w:r>
          </w:p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Ti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vertAlign w:val="subscript"/>
              </w:rPr>
              <w:t>3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C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vertAlign w:val="subscript"/>
              </w:rPr>
              <w:t>2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Tx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0-80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1.2</w:t>
            </w:r>
          </w:p>
        </w:tc>
        <w:tc>
          <w:tcPr>
            <w:tcW w:w="1470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Nonlinear</w:t>
            </w:r>
          </w:p>
        </w:tc>
        <w:tc>
          <w:tcPr>
            <w:tcW w:w="1418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MS Mincho"/>
                <w:color w:val="000000"/>
                <w:kern w:val="0"/>
                <w:sz w:val="20"/>
                <w:szCs w:val="20"/>
              </w:rPr>
              <w:t>Electronic conduction</w:t>
            </w:r>
          </w:p>
        </w:tc>
        <w:tc>
          <w:tcPr>
            <w:tcW w:w="845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 [S14]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507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80-150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1.57</w:t>
            </w:r>
          </w:p>
        </w:tc>
        <w:tc>
          <w:tcPr>
            <w:tcW w:w="147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45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507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150-220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2.34</w:t>
            </w:r>
          </w:p>
        </w:tc>
        <w:tc>
          <w:tcPr>
            <w:tcW w:w="147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45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507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220-280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3.51</w:t>
            </w:r>
          </w:p>
        </w:tc>
        <w:tc>
          <w:tcPr>
            <w:tcW w:w="147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45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507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PVA/G/PDA/AgNPs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MS Mincho"/>
                <w:color w:val="000000"/>
                <w:kern w:val="0"/>
                <w:sz w:val="20"/>
                <w:szCs w:val="20"/>
              </w:rPr>
              <w:t>0-70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MS Mincho"/>
                <w:color w:val="000000"/>
                <w:kern w:val="0"/>
                <w:sz w:val="20"/>
                <w:szCs w:val="20"/>
              </w:rPr>
              <w:t>0.94</w:t>
            </w:r>
          </w:p>
        </w:tc>
        <w:tc>
          <w:tcPr>
            <w:tcW w:w="1470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Nonlinear</w:t>
            </w:r>
          </w:p>
        </w:tc>
        <w:tc>
          <w:tcPr>
            <w:tcW w:w="1418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MS Mincho"/>
                <w:color w:val="000000"/>
                <w:kern w:val="0"/>
                <w:sz w:val="20"/>
                <w:szCs w:val="20"/>
              </w:rPr>
              <w:t>Electronic conduction</w:t>
            </w:r>
          </w:p>
        </w:tc>
        <w:tc>
          <w:tcPr>
            <w:tcW w:w="845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 [S15]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507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MS Mincho"/>
                <w:color w:val="000000"/>
                <w:kern w:val="0"/>
                <w:sz w:val="20"/>
                <w:szCs w:val="20"/>
              </w:rPr>
              <w:t>70-315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MS Mincho"/>
                <w:color w:val="000000"/>
                <w:kern w:val="0"/>
                <w:sz w:val="20"/>
                <w:szCs w:val="20"/>
              </w:rPr>
              <w:t>0.13</w:t>
            </w:r>
          </w:p>
        </w:tc>
        <w:tc>
          <w:tcPr>
            <w:tcW w:w="147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45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507" w:type="dxa"/>
            <w:tcBorders>
              <w:top w:val="nil"/>
              <w:left w:val="nil"/>
              <w:bottom w:val="single" w:color="auto" w:sz="8" w:space="0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PNIPAM/SA/ MoO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8" w:space="0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MS Mincho"/>
                <w:color w:val="000000"/>
                <w:kern w:val="0"/>
                <w:sz w:val="20"/>
                <w:szCs w:val="20"/>
              </w:rPr>
              <w:t>600</w:t>
            </w:r>
          </w:p>
        </w:tc>
        <w:tc>
          <w:tcPr>
            <w:tcW w:w="1126" w:type="dxa"/>
            <w:tcBorders>
              <w:top w:val="nil"/>
              <w:left w:val="nil"/>
              <w:bottom w:val="single" w:color="auto" w:sz="8" w:space="0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MS Mincho"/>
                <w:color w:val="000000"/>
                <w:kern w:val="0"/>
                <w:sz w:val="20"/>
                <w:szCs w:val="20"/>
              </w:rPr>
              <w:t>3.94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MS Mincho"/>
                <w:color w:val="000000"/>
                <w:kern w:val="0"/>
                <w:sz w:val="20"/>
                <w:szCs w:val="20"/>
              </w:rPr>
              <w:t>Linear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8" w:space="0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MS Mincho"/>
                <w:color w:val="000000"/>
                <w:kern w:val="0"/>
                <w:sz w:val="20"/>
                <w:szCs w:val="20"/>
              </w:rPr>
              <w:t>Electronic conduction</w:t>
            </w:r>
          </w:p>
        </w:tc>
        <w:tc>
          <w:tcPr>
            <w:tcW w:w="845" w:type="dxa"/>
            <w:tcBorders>
              <w:top w:val="nil"/>
              <w:left w:val="nil"/>
              <w:bottom w:val="single" w:color="auto" w:sz="8" w:space="0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0"/>
                <w:szCs w:val="20"/>
              </w:rPr>
              <w:t>This work</w:t>
            </w:r>
          </w:p>
        </w:tc>
      </w:tr>
    </w:tbl>
    <w:p>
      <w:pPr>
        <w:rPr>
          <w:rFonts w:ascii="Times New Roman" w:hAnsi="Times New Roman" w:cs="Times New Roman"/>
          <w:sz w:val="20"/>
          <w:szCs w:val="20"/>
        </w:rPr>
      </w:pPr>
    </w:p>
    <w:p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Supporting Movie 1 </w:t>
      </w:r>
      <w:r>
        <w:rPr>
          <w:rFonts w:ascii="Times New Roman" w:hAnsi="Times New Roman" w:cs="Times New Roman"/>
          <w:sz w:val="20"/>
          <w:szCs w:val="20"/>
        </w:rPr>
        <w:t>Thermo-responsive actuation behavior of hydrogels</w:t>
      </w:r>
    </w:p>
    <w:p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Supporting Movie 2 </w:t>
      </w:r>
      <w:r>
        <w:rPr>
          <w:rFonts w:ascii="Times New Roman" w:hAnsi="Times New Roman" w:cs="Times New Roman"/>
          <w:sz w:val="20"/>
          <w:szCs w:val="20"/>
        </w:rPr>
        <w:t>PSM hydrogel gripper grabs metal sheet from 50 °C water</w:t>
      </w:r>
    </w:p>
    <w:p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Supporting Movie 3 </w:t>
      </w:r>
      <w:r>
        <w:rPr>
          <w:rFonts w:ascii="Times New Roman" w:hAnsi="Times New Roman" w:cs="Times New Roman"/>
          <w:sz w:val="20"/>
          <w:szCs w:val="20"/>
        </w:rPr>
        <w:t>Bioinspired jellyfish</w:t>
      </w:r>
      <w:r>
        <w:rPr>
          <w:rFonts w:hint="eastAsia"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swimming under NIR switch</w:t>
      </w:r>
    </w:p>
    <w:p>
      <w:pPr>
        <w:widowControl/>
        <w:jc w:val="left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Supporting Movie 4 </w:t>
      </w:r>
      <w:r>
        <w:rPr>
          <w:rFonts w:ascii="Times New Roman" w:hAnsi="Times New Roman" w:cs="Times New Roman"/>
          <w:sz w:val="20"/>
          <w:szCs w:val="20"/>
        </w:rPr>
        <w:t>Self-assembly folding cube</w:t>
      </w:r>
    </w:p>
    <w:p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Supporting Movie 5 </w:t>
      </w:r>
      <w:r>
        <w:rPr>
          <w:rFonts w:ascii="Times New Roman" w:hAnsi="Times New Roman" w:cs="Times New Roman"/>
          <w:sz w:val="20"/>
          <w:szCs w:val="20"/>
        </w:rPr>
        <w:t>Brightness changes of LED</w:t>
      </w:r>
      <w:r>
        <w:rPr>
          <w:rFonts w:hint="eastAsia"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in the undeformed, stretched</w:t>
      </w:r>
      <w:r>
        <w:rPr>
          <w:rFonts w:hint="eastAsia"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and folded states of PSM hydrogel </w:t>
      </w:r>
    </w:p>
    <w:p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Supporting Movie 6 </w:t>
      </w:r>
      <w:r>
        <w:rPr>
          <w:rFonts w:ascii="Times New Roman" w:hAnsi="Times New Roman" w:cs="Times New Roman"/>
          <w:sz w:val="20"/>
          <w:szCs w:val="20"/>
        </w:rPr>
        <w:t>Remote interaction of</w:t>
      </w:r>
      <w:r>
        <w:rPr>
          <w:rFonts w:hint="eastAsia"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soft-hard robot via IoT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</w:p>
    <w:p>
      <w:pPr>
        <w:widowControl/>
        <w:jc w:val="left"/>
        <w:rPr>
          <w:rFonts w:ascii="Times New Roman" w:hAnsi="Times New Roman" w:eastAsia="等线"/>
          <w:b/>
          <w:bCs/>
          <w:kern w:val="0"/>
          <w:sz w:val="20"/>
          <w:szCs w:val="20"/>
        </w:rPr>
      </w:pPr>
    </w:p>
    <w:p>
      <w:pPr>
        <w:widowControl/>
        <w:jc w:val="left"/>
        <w:rPr>
          <w:rFonts w:ascii="Times New Roman" w:hAnsi="Times New Roman" w:eastAsia="等线"/>
          <w:b/>
          <w:bCs/>
          <w:kern w:val="0"/>
          <w:sz w:val="20"/>
          <w:szCs w:val="20"/>
        </w:rPr>
      </w:pPr>
      <w:r>
        <w:rPr>
          <w:rFonts w:ascii="Times New Roman" w:hAnsi="Times New Roman" w:eastAsia="等线"/>
          <w:b/>
          <w:bCs/>
          <w:kern w:val="0"/>
          <w:sz w:val="20"/>
          <w:szCs w:val="20"/>
        </w:rPr>
        <w:br w:type="page"/>
      </w:r>
    </w:p>
    <w:p>
      <w:pPr>
        <w:widowControl/>
        <w:jc w:val="left"/>
        <w:rPr>
          <w:rFonts w:ascii="Times New Roman" w:hAnsi="Times New Roman" w:eastAsia="等线"/>
          <w:b/>
          <w:bCs/>
          <w:kern w:val="0"/>
          <w:sz w:val="28"/>
          <w:szCs w:val="28"/>
        </w:rPr>
      </w:pPr>
      <w:r>
        <w:rPr>
          <w:rFonts w:ascii="Times New Roman" w:hAnsi="Times New Roman" w:eastAsia="等线"/>
          <w:b/>
          <w:bCs/>
          <w:kern w:val="0"/>
          <w:sz w:val="28"/>
          <w:szCs w:val="28"/>
        </w:rPr>
        <w:t>Reference</w:t>
      </w:r>
    </w:p>
    <w:p>
      <w:pPr>
        <w:pStyle w:val="11"/>
      </w:pPr>
      <w:r>
        <w:t>[S1]</w:t>
      </w:r>
      <w:r>
        <w:rPr>
          <w:rFonts w:ascii="Segoe UI" w:hAnsi="Segoe UI" w:cs="Segoe UI"/>
          <w:sz w:val="18"/>
        </w:rPr>
        <w:t xml:space="preserve"> </w:t>
      </w:r>
      <w:r>
        <w:t xml:space="preserve">Y. Tan, D. Wang, H. Xu, Y. Yang, X. L. Wang, F. Tian, P. Xu, W. An, X. Zhao, S. Xu. Rapid recovery hydrogel actuators in air with bionic large-ranged gradient structure. ACS Appl. Mater. Interfaces. </w:t>
      </w:r>
      <w:r>
        <w:rPr>
          <w:b/>
        </w:rPr>
        <w:t>10</w:t>
      </w:r>
      <w:r>
        <w:t>(46), 40125-40131 (2018). https://doi.org/10.1021/acsami.8b13235</w:t>
      </w:r>
    </w:p>
    <w:p>
      <w:pPr>
        <w:pStyle w:val="11"/>
      </w:pPr>
      <w:r>
        <w:t>[S2]</w:t>
      </w:r>
      <w:r>
        <w:rPr>
          <w:rFonts w:ascii="Segoe UI" w:hAnsi="Segoe UI" w:cs="Segoe UI"/>
          <w:sz w:val="18"/>
        </w:rPr>
        <w:t xml:space="preserve"> </w:t>
      </w:r>
      <w:r>
        <w:t xml:space="preserve">Y. Tan, D. Wang, H. Xu, Y. Yang, W. An, L. Yu, Z. Xiao, S. Xu. A fast, reversible, and robust gradient nanocomposite hydrogel actuator with water-promoted thermal response. Macromol. Rapid Commun. </w:t>
      </w:r>
      <w:r>
        <w:rPr>
          <w:b/>
        </w:rPr>
        <w:t>39</w:t>
      </w:r>
      <w:r>
        <w:t>(8), e1700863 (2018). https://doi.org/10.1002/marc.201700863</w:t>
      </w:r>
    </w:p>
    <w:p>
      <w:pPr>
        <w:pStyle w:val="11"/>
      </w:pPr>
      <w:r>
        <w:t>[S3]</w:t>
      </w:r>
      <w:r>
        <w:rPr>
          <w:rFonts w:ascii="Segoe UI" w:hAnsi="Segoe UI" w:cs="Segoe UI"/>
          <w:sz w:val="18"/>
        </w:rPr>
        <w:t xml:space="preserve"> </w:t>
      </w:r>
      <w:r>
        <w:t xml:space="preserve">J. Lin, Y. Han, Y. Cui, W. Zhao, C. Chang. Ionic coordination strengthening of temperature-driven gradient hydrogel actuators with rapid responsiveness. Compos. B. Eng. </w:t>
      </w:r>
      <w:r>
        <w:rPr>
          <w:b/>
        </w:rPr>
        <w:t>245</w:t>
      </w:r>
      <w:r>
        <w:rPr>
          <w:rFonts w:hint="eastAsia"/>
        </w:rPr>
        <w:t>,</w:t>
      </w:r>
      <w:r>
        <w:t xml:space="preserve"> (2022). https://doi.org/10.1016/j.compositesb.2022.110210</w:t>
      </w:r>
    </w:p>
    <w:p>
      <w:pPr>
        <w:pStyle w:val="11"/>
      </w:pPr>
      <w:r>
        <w:t>[S4]</w:t>
      </w:r>
      <w:r>
        <w:rPr>
          <w:rFonts w:ascii="Segoe UI" w:hAnsi="Segoe UI" w:cs="Segoe UI"/>
          <w:sz w:val="18"/>
        </w:rPr>
        <w:t xml:space="preserve"> </w:t>
      </w:r>
      <w:r>
        <w:t xml:space="preserve">Q. Zhao, Y. Liang, L. Ren, Z. Yu, Z. Zhang, F. Qiu, L. Ren. Design and fabrication of nanofibrillated cellulose-containing bilayer hydrogel actuators with temperature and near infrared laser responses. J Mater Chem B. </w:t>
      </w:r>
      <w:r>
        <w:rPr>
          <w:b/>
        </w:rPr>
        <w:t>6</w:t>
      </w:r>
      <w:r>
        <w:t>(8), 1260-1271 (2018). https://doi.org/10.1039/c7tb02853a</w:t>
      </w:r>
    </w:p>
    <w:p>
      <w:pPr>
        <w:pStyle w:val="11"/>
      </w:pPr>
      <w:r>
        <w:t>[S5]</w:t>
      </w:r>
      <w:r>
        <w:rPr>
          <w:rFonts w:ascii="Segoe UI" w:hAnsi="Segoe UI" w:cs="Segoe UI"/>
          <w:sz w:val="18"/>
        </w:rPr>
        <w:t xml:space="preserve"> </w:t>
      </w:r>
      <w:r>
        <w:t xml:space="preserve">B. Y. Wu, X. X. Le, Y. K. Jian, W. Lu, Z. Y. Yang, Z. K. Zheng, P. Theato, J. W. Zhang, A. Zhang, T. Chen. Ph and thermo dual-responsive fluorescent hydrogel actuator. Macromol. Rapid Commun. </w:t>
      </w:r>
      <w:r>
        <w:rPr>
          <w:b/>
        </w:rPr>
        <w:t>40</w:t>
      </w:r>
      <w:r>
        <w:t>(4), e1800648 (2019). https://doi.org/10.1002/marc.201800648</w:t>
      </w:r>
    </w:p>
    <w:p>
      <w:pPr>
        <w:pStyle w:val="11"/>
      </w:pPr>
      <w:r>
        <w:t>[S6]</w:t>
      </w:r>
      <w:r>
        <w:rPr>
          <w:rFonts w:ascii="Segoe UI" w:hAnsi="Segoe UI" w:cs="Segoe UI"/>
          <w:sz w:val="18"/>
        </w:rPr>
        <w:t xml:space="preserve"> </w:t>
      </w:r>
      <w:r>
        <w:t xml:space="preserve">Z. Sun, C. Wei, W. Liu, H. Liu, J. Liu, R. Hao, M. Huang, S. He. Two-dimensional moo(2) nanosheet composite hydrogels with high transmittance and excellent photothermal property for near-infrared responsive actuators and microvalves. ACS Appl. Mater. Interfaces. </w:t>
      </w:r>
      <w:r>
        <w:rPr>
          <w:b/>
        </w:rPr>
        <w:t>13</w:t>
      </w:r>
      <w:r>
        <w:t>(28), 33404-33416 (2021). https://doi.org/10.1021/acsami.1c04110</w:t>
      </w:r>
    </w:p>
    <w:p>
      <w:pPr>
        <w:pStyle w:val="11"/>
      </w:pPr>
      <w:r>
        <w:t>[S7]</w:t>
      </w:r>
      <w:r>
        <w:rPr>
          <w:rFonts w:ascii="Segoe UI" w:hAnsi="Segoe UI" w:cs="Segoe UI"/>
          <w:sz w:val="18"/>
        </w:rPr>
        <w:t xml:space="preserve"> </w:t>
      </w:r>
      <w:r>
        <w:t xml:space="preserve">N. Chen, Y. Zhou, Y. Liu, Y. Mi, S. Zhao, W. Yang, S. Che, H. Liu, F. Chen, C. Xu, G. Ma, X. Peng, Y. Li. Conductive photo-thermal responsive bifunctional hydrogel system with self-actuating and self-monitoring abilities. Nano Res. </w:t>
      </w:r>
      <w:r>
        <w:rPr>
          <w:b/>
        </w:rPr>
        <w:t>15</w:t>
      </w:r>
      <w:r>
        <w:t>(8), 7703-7712 (2022). https://doi.org/10.1007/s12274-022-4394-3</w:t>
      </w:r>
    </w:p>
    <w:p>
      <w:pPr>
        <w:pStyle w:val="11"/>
      </w:pPr>
      <w:r>
        <w:t>[S8]</w:t>
      </w:r>
      <w:r>
        <w:rPr>
          <w:rFonts w:ascii="Segoe UI" w:hAnsi="Segoe UI" w:cs="Segoe UI"/>
          <w:sz w:val="18"/>
        </w:rPr>
        <w:t xml:space="preserve"> </w:t>
      </w:r>
      <w:r>
        <w:t xml:space="preserve">X. Jing, P. Feng, Z. Chen, Z. Xie, H. Li, X.-F. Peng, H.-Y. Mi, Y. Liu. Highly stretchable, self-healable, freezing-tolerant, and transparent polyacrylic acid/nanochitin composite hydrogel for self-powered multifunctional sensors. ACS Sustainable Chem. Eng. </w:t>
      </w:r>
      <w:r>
        <w:rPr>
          <w:b/>
        </w:rPr>
        <w:t>9</w:t>
      </w:r>
      <w:r>
        <w:t>(28), 9209-9220 (2021). https://doi.org/10.1021/acssuschemeng.1c00949</w:t>
      </w:r>
    </w:p>
    <w:p>
      <w:pPr>
        <w:pStyle w:val="11"/>
      </w:pPr>
      <w:r>
        <w:t>[S9]</w:t>
      </w:r>
      <w:r>
        <w:rPr>
          <w:rFonts w:ascii="Segoe UI" w:hAnsi="Segoe UI" w:cs="Segoe UI"/>
          <w:sz w:val="18"/>
        </w:rPr>
        <w:t xml:space="preserve"> </w:t>
      </w:r>
      <w:r>
        <w:t xml:space="preserve">J. Wen, J. Tang, H. Ning, N. Hu, Y. Zhu, Y. Gong, C. Xu, Q. Zhao, X. Jiang, X. Hu, L. Lei, D. Wu, T. Huang. Multifunctional ionic skin with sensing, uv‐filtering, water‐retaining, and anti‐freezing capabilities. Adv. Funct. Mater. </w:t>
      </w:r>
      <w:r>
        <w:rPr>
          <w:b/>
        </w:rPr>
        <w:t>31</w:t>
      </w:r>
      <w:r>
        <w:t>(21), 2011176 (2021). https://doi.org/10.1002/adfm.202011176</w:t>
      </w:r>
    </w:p>
    <w:p>
      <w:pPr>
        <w:pStyle w:val="11"/>
      </w:pPr>
      <w:r>
        <w:t>[S10]</w:t>
      </w:r>
      <w:r>
        <w:rPr>
          <w:rFonts w:ascii="Segoe UI" w:hAnsi="Segoe UI" w:cs="Segoe UI"/>
          <w:sz w:val="18"/>
        </w:rPr>
        <w:t xml:space="preserve"> </w:t>
      </w:r>
      <w:r>
        <w:t xml:space="preserve">X.-y. Wang, H.-J. Kim. Ultra-stretchable dual-network ionic hydrogel strain sensor with moistening and anti-freezing ability. Prog. Org. Coat. </w:t>
      </w:r>
      <w:r>
        <w:rPr>
          <w:b/>
        </w:rPr>
        <w:t>166</w:t>
      </w:r>
      <w:r>
        <w:t>, 106784 (2022). https://doi.org/10.1016/j.porgcoat.2022.106784</w:t>
      </w:r>
    </w:p>
    <w:p>
      <w:pPr>
        <w:pStyle w:val="11"/>
      </w:pPr>
      <w:r>
        <w:t>[S11]</w:t>
      </w:r>
      <w:r>
        <w:rPr>
          <w:rFonts w:ascii="Segoe UI" w:hAnsi="Segoe UI" w:cs="Segoe UI"/>
          <w:sz w:val="18"/>
        </w:rPr>
        <w:t xml:space="preserve"> </w:t>
      </w:r>
      <w:r>
        <w:t xml:space="preserve">B. Zhao, J. Yan, F. Long, W. Qiu, G. Meng, Z. Zeng, H. Huang, H. Wang, N. Lin, X. Y. Liu. Bioinspired conductive enhanced polyurethane ionic skin as reliable multifunctional sensors. Adv. Sci. </w:t>
      </w:r>
      <w:r>
        <w:rPr>
          <w:b/>
        </w:rPr>
        <w:t>10</w:t>
      </w:r>
      <w:r>
        <w:t>(19), e2300857 (2023). https://doi.org/10.1002/advs.202300857</w:t>
      </w:r>
    </w:p>
    <w:p>
      <w:pPr>
        <w:pStyle w:val="11"/>
      </w:pPr>
      <w:r>
        <w:t>[S12]</w:t>
      </w:r>
      <w:r>
        <w:rPr>
          <w:rFonts w:ascii="Segoe UI" w:hAnsi="Segoe UI" w:cs="Segoe UI"/>
          <w:sz w:val="18"/>
        </w:rPr>
        <w:t xml:space="preserve"> </w:t>
      </w:r>
      <w:r>
        <w:t xml:space="preserve">Q. Zhang, Q. Wang, G. Wang, Z. Zhang, S. Xia, G. Gao. Ultrathin and highly tough hydrogel films for multifunctional strain sensors. ACS Appl. Mater. Interfaces. </w:t>
      </w:r>
      <w:r>
        <w:rPr>
          <w:b/>
        </w:rPr>
        <w:t>13</w:t>
      </w:r>
      <w:r>
        <w:t>(42), 50411-50421 (2021). https://doi.org/10.1021/acsami.1c15784</w:t>
      </w:r>
    </w:p>
    <w:p>
      <w:pPr>
        <w:pStyle w:val="11"/>
      </w:pPr>
      <w:r>
        <w:t>[S13]</w:t>
      </w:r>
      <w:r>
        <w:rPr>
          <w:rFonts w:ascii="Segoe UI" w:hAnsi="Segoe UI" w:cs="Segoe UI"/>
          <w:sz w:val="18"/>
        </w:rPr>
        <w:t xml:space="preserve"> </w:t>
      </w:r>
      <w:r>
        <w:t xml:space="preserve">K. Zhang, C. Song, Z. Wang, C. Gao, Y. Wu, Y. Liu. A stretchable and self-healable organosilicon conductive nanocomposite for a reliable and sensitive strain sensor. J. Mater. Chem. C. </w:t>
      </w:r>
      <w:r>
        <w:rPr>
          <w:b/>
        </w:rPr>
        <w:t>8</w:t>
      </w:r>
      <w:r>
        <w:t>(48), 17277-17288 (2020). https://doi.org/10.1039/d0tc04719h</w:t>
      </w:r>
    </w:p>
    <w:p>
      <w:pPr>
        <w:pStyle w:val="11"/>
      </w:pPr>
      <w:r>
        <w:t>[S14]</w:t>
      </w:r>
      <w:r>
        <w:rPr>
          <w:rFonts w:ascii="Segoe UI" w:hAnsi="Segoe UI" w:cs="Segoe UI"/>
          <w:sz w:val="18"/>
        </w:rPr>
        <w:t xml:space="preserve"> </w:t>
      </w:r>
      <w:r>
        <w:t xml:space="preserve">T. Gong, Z. N. Li, H. Liang, Y. Li, X. Tang, F. Chen, Q. Hu, H. Wang. High-sensitivity wearable sensor based on a mxene nanochannel self-adhesive hydrogel. ACS Appl. Mater. Interfaces. </w:t>
      </w:r>
      <w:r>
        <w:rPr>
          <w:b/>
        </w:rPr>
        <w:t>15</w:t>
      </w:r>
      <w:r>
        <w:t>(15), 19349-19361 (2023). https://doi.org/10.1021/acsami.3c01748</w:t>
      </w:r>
    </w:p>
    <w:p>
      <w:pPr>
        <w:pStyle w:val="11"/>
      </w:pPr>
      <w:r>
        <w:t>[S15]</w:t>
      </w:r>
      <w:r>
        <w:rPr>
          <w:rFonts w:ascii="Segoe UI" w:hAnsi="Segoe UI" w:cs="Segoe UI"/>
          <w:sz w:val="18"/>
        </w:rPr>
        <w:t xml:space="preserve"> </w:t>
      </w:r>
      <w:r>
        <w:t xml:space="preserve">L. Fan, J. Xie, Y. Zheng, D. Wei, D. Yao, J. Zhang, T. Zhang. Antibacterial, self-adhesive, recyclable, and tough conductive composite hydrogels for ultrasensitive strain sensing. ACS Appl. Mater. Interfaces. </w:t>
      </w:r>
      <w:r>
        <w:rPr>
          <w:b/>
        </w:rPr>
        <w:t>12</w:t>
      </w:r>
      <w:r>
        <w:t>(19), 22225-22236 (2020). https://doi.org/10.1021/acsami.0c06091</w:t>
      </w:r>
    </w:p>
    <w:p>
      <w:pPr>
        <w:rPr>
          <w:rFonts w:ascii="Times New Roman" w:hAnsi="Times New Roman" w:cs="Times New Roman"/>
          <w:sz w:val="20"/>
          <w:szCs w:val="2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MS Mincho">
    <w:panose1 w:val="02020609040205080304"/>
    <w:charset w:val="80"/>
    <w:family w:val="modern"/>
    <w:pitch w:val="default"/>
    <w:sig w:usb0="E00002FF" w:usb1="6AC7FDFB" w:usb2="08000012" w:usb3="00000000" w:csb0="4002009F" w:csb1="DFD7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409047197"/>
      <w:docPartObj>
        <w:docPartGallery w:val="autotext"/>
      </w:docPartObj>
    </w:sdtPr>
    <w:sdtContent>
      <w:p>
        <w:pPr>
          <w:pStyle w:val="2"/>
          <w:jc w:val="center"/>
        </w:pPr>
        <w:r>
          <w:rPr>
            <w:rFonts w:hint="eastAsia"/>
            <w:lang w:val="en-US" w:eastAsia="zh-CN"/>
          </w:rPr>
          <w:t>S</w:t>
        </w: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YwNGYzNGMwNGExMmIzYTI4YzAxMTVjMGY1MDc5OGIifQ=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ano-Micro Letters Copy-SI&lt;/Style&gt;&lt;LeftDelim&gt;{&lt;/LeftDelim&gt;&lt;RightDelim&gt;}&lt;/RightDelim&gt;&lt;FontName&gt;Times New Roman&lt;/FontName&gt;&lt;FontSize&gt;10&lt;/FontSize&gt;&lt;ReflistTitle&gt;&lt;/ReflistTitle&gt;&lt;StartingRefnum&gt;1&lt;/StartingRefnum&gt;&lt;FirstLineIndent&gt;0&lt;/FirstLineIndent&gt;&lt;HangingIndent&gt;365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2rexdtvvddxzfhep90v5spr0za00ezerzpx2&quot;&gt;3-PSM&lt;record-ids&gt;&lt;item&gt;20&lt;/item&gt;&lt;item&gt;32&lt;/item&gt;&lt;item&gt;33&lt;/item&gt;&lt;item&gt;34&lt;/item&gt;&lt;item&gt;35&lt;/item&gt;&lt;item&gt;36&lt;/item&gt;&lt;item&gt;37&lt;/item&gt;&lt;item&gt;38&lt;/item&gt;&lt;item&gt;39&lt;/item&gt;&lt;item&gt;40&lt;/item&gt;&lt;item&gt;41&lt;/item&gt;&lt;item&gt;42&lt;/item&gt;&lt;item&gt;43&lt;/item&gt;&lt;item&gt;44&lt;/item&gt;&lt;item&gt;45&lt;/item&gt;&lt;/record-ids&gt;&lt;/item&gt;&lt;/Libraries&gt;"/>
  </w:docVars>
  <w:rsids>
    <w:rsidRoot w:val="003F0DFF"/>
    <w:rsid w:val="00011374"/>
    <w:rsid w:val="000134C0"/>
    <w:rsid w:val="0002020E"/>
    <w:rsid w:val="00025306"/>
    <w:rsid w:val="0004079C"/>
    <w:rsid w:val="00073037"/>
    <w:rsid w:val="00077679"/>
    <w:rsid w:val="00093BC6"/>
    <w:rsid w:val="000A10E9"/>
    <w:rsid w:val="000A4C16"/>
    <w:rsid w:val="000A60A7"/>
    <w:rsid w:val="000A6F52"/>
    <w:rsid w:val="000B008D"/>
    <w:rsid w:val="000C0CA8"/>
    <w:rsid w:val="000D2943"/>
    <w:rsid w:val="000D680E"/>
    <w:rsid w:val="000E2118"/>
    <w:rsid w:val="000E221D"/>
    <w:rsid w:val="000E235D"/>
    <w:rsid w:val="000E3212"/>
    <w:rsid w:val="000F4C79"/>
    <w:rsid w:val="000F6F03"/>
    <w:rsid w:val="001076A1"/>
    <w:rsid w:val="00107791"/>
    <w:rsid w:val="00110D76"/>
    <w:rsid w:val="001300A2"/>
    <w:rsid w:val="00133962"/>
    <w:rsid w:val="00150D45"/>
    <w:rsid w:val="00151449"/>
    <w:rsid w:val="00156F20"/>
    <w:rsid w:val="00160B8B"/>
    <w:rsid w:val="001649A2"/>
    <w:rsid w:val="00175CDE"/>
    <w:rsid w:val="00186BA8"/>
    <w:rsid w:val="001935E2"/>
    <w:rsid w:val="00197762"/>
    <w:rsid w:val="001A1076"/>
    <w:rsid w:val="001A3511"/>
    <w:rsid w:val="001B548D"/>
    <w:rsid w:val="001C103A"/>
    <w:rsid w:val="001C45BB"/>
    <w:rsid w:val="001D2A40"/>
    <w:rsid w:val="001E4FC8"/>
    <w:rsid w:val="00201357"/>
    <w:rsid w:val="0020402B"/>
    <w:rsid w:val="002125E1"/>
    <w:rsid w:val="0022277E"/>
    <w:rsid w:val="00222B44"/>
    <w:rsid w:val="00234329"/>
    <w:rsid w:val="0023674B"/>
    <w:rsid w:val="00252C0D"/>
    <w:rsid w:val="0026052B"/>
    <w:rsid w:val="00262108"/>
    <w:rsid w:val="002624F9"/>
    <w:rsid w:val="00264667"/>
    <w:rsid w:val="0026522A"/>
    <w:rsid w:val="002857AE"/>
    <w:rsid w:val="002A1EBB"/>
    <w:rsid w:val="002C1E22"/>
    <w:rsid w:val="002C21DB"/>
    <w:rsid w:val="002C2F27"/>
    <w:rsid w:val="002D74DB"/>
    <w:rsid w:val="002E2818"/>
    <w:rsid w:val="002F4D7D"/>
    <w:rsid w:val="00307949"/>
    <w:rsid w:val="00317672"/>
    <w:rsid w:val="003272BD"/>
    <w:rsid w:val="00336017"/>
    <w:rsid w:val="00342066"/>
    <w:rsid w:val="00346782"/>
    <w:rsid w:val="00352936"/>
    <w:rsid w:val="00355BD2"/>
    <w:rsid w:val="00361D77"/>
    <w:rsid w:val="003666DC"/>
    <w:rsid w:val="00370E68"/>
    <w:rsid w:val="00375D23"/>
    <w:rsid w:val="003850ED"/>
    <w:rsid w:val="00392D32"/>
    <w:rsid w:val="003A13CB"/>
    <w:rsid w:val="003D347C"/>
    <w:rsid w:val="003D6C7D"/>
    <w:rsid w:val="003F0DFF"/>
    <w:rsid w:val="003F511F"/>
    <w:rsid w:val="00401F9E"/>
    <w:rsid w:val="004076F4"/>
    <w:rsid w:val="00413791"/>
    <w:rsid w:val="0041457E"/>
    <w:rsid w:val="00426DE0"/>
    <w:rsid w:val="0046514D"/>
    <w:rsid w:val="004727AB"/>
    <w:rsid w:val="004824DD"/>
    <w:rsid w:val="00490E20"/>
    <w:rsid w:val="004B145A"/>
    <w:rsid w:val="004B37A2"/>
    <w:rsid w:val="004B4D65"/>
    <w:rsid w:val="004C03B6"/>
    <w:rsid w:val="004E60FD"/>
    <w:rsid w:val="004E7572"/>
    <w:rsid w:val="004F0EB2"/>
    <w:rsid w:val="005015FD"/>
    <w:rsid w:val="005231CD"/>
    <w:rsid w:val="00532DF1"/>
    <w:rsid w:val="0053713D"/>
    <w:rsid w:val="00540548"/>
    <w:rsid w:val="005416C5"/>
    <w:rsid w:val="0054709D"/>
    <w:rsid w:val="00557C3A"/>
    <w:rsid w:val="00573BB7"/>
    <w:rsid w:val="005967B9"/>
    <w:rsid w:val="005A58F2"/>
    <w:rsid w:val="005B2BD5"/>
    <w:rsid w:val="005B5C66"/>
    <w:rsid w:val="005B7653"/>
    <w:rsid w:val="005C11AB"/>
    <w:rsid w:val="005D0490"/>
    <w:rsid w:val="005F0591"/>
    <w:rsid w:val="006019A4"/>
    <w:rsid w:val="00624C2C"/>
    <w:rsid w:val="00626478"/>
    <w:rsid w:val="0063559E"/>
    <w:rsid w:val="006527F5"/>
    <w:rsid w:val="00656A58"/>
    <w:rsid w:val="00657229"/>
    <w:rsid w:val="006625DA"/>
    <w:rsid w:val="00665846"/>
    <w:rsid w:val="00671FEC"/>
    <w:rsid w:val="00687875"/>
    <w:rsid w:val="006A2217"/>
    <w:rsid w:val="006A3CD8"/>
    <w:rsid w:val="006B2495"/>
    <w:rsid w:val="006F1A45"/>
    <w:rsid w:val="007029CD"/>
    <w:rsid w:val="00716283"/>
    <w:rsid w:val="00716CE4"/>
    <w:rsid w:val="00720DA8"/>
    <w:rsid w:val="00724AFE"/>
    <w:rsid w:val="00741A12"/>
    <w:rsid w:val="00750B05"/>
    <w:rsid w:val="007512EB"/>
    <w:rsid w:val="00764970"/>
    <w:rsid w:val="00780DDB"/>
    <w:rsid w:val="00781891"/>
    <w:rsid w:val="00793BBB"/>
    <w:rsid w:val="007B32B7"/>
    <w:rsid w:val="007C2752"/>
    <w:rsid w:val="007C7B96"/>
    <w:rsid w:val="007E45D8"/>
    <w:rsid w:val="007E56CD"/>
    <w:rsid w:val="00806F29"/>
    <w:rsid w:val="008109BC"/>
    <w:rsid w:val="00814CE7"/>
    <w:rsid w:val="00816F94"/>
    <w:rsid w:val="0082310A"/>
    <w:rsid w:val="00825F77"/>
    <w:rsid w:val="008661C2"/>
    <w:rsid w:val="0087403A"/>
    <w:rsid w:val="0088568A"/>
    <w:rsid w:val="00896226"/>
    <w:rsid w:val="00897352"/>
    <w:rsid w:val="008B35F9"/>
    <w:rsid w:val="008B7446"/>
    <w:rsid w:val="008C2053"/>
    <w:rsid w:val="008D2842"/>
    <w:rsid w:val="008E2B49"/>
    <w:rsid w:val="00910CD9"/>
    <w:rsid w:val="00920C63"/>
    <w:rsid w:val="00923133"/>
    <w:rsid w:val="00923B9A"/>
    <w:rsid w:val="00926160"/>
    <w:rsid w:val="00927561"/>
    <w:rsid w:val="00930796"/>
    <w:rsid w:val="009314F0"/>
    <w:rsid w:val="00932201"/>
    <w:rsid w:val="00942397"/>
    <w:rsid w:val="0095523F"/>
    <w:rsid w:val="009756B7"/>
    <w:rsid w:val="00977057"/>
    <w:rsid w:val="0099589D"/>
    <w:rsid w:val="009A5AC4"/>
    <w:rsid w:val="009A5F8B"/>
    <w:rsid w:val="009B0FD5"/>
    <w:rsid w:val="009C6585"/>
    <w:rsid w:val="009D7108"/>
    <w:rsid w:val="009E0BCF"/>
    <w:rsid w:val="009E5383"/>
    <w:rsid w:val="009F422D"/>
    <w:rsid w:val="00A247BC"/>
    <w:rsid w:val="00A35964"/>
    <w:rsid w:val="00A4059E"/>
    <w:rsid w:val="00A55516"/>
    <w:rsid w:val="00A56110"/>
    <w:rsid w:val="00A673E6"/>
    <w:rsid w:val="00A72636"/>
    <w:rsid w:val="00A83927"/>
    <w:rsid w:val="00AC5E87"/>
    <w:rsid w:val="00AD3633"/>
    <w:rsid w:val="00AD66BF"/>
    <w:rsid w:val="00AD7001"/>
    <w:rsid w:val="00AE3066"/>
    <w:rsid w:val="00AE42CC"/>
    <w:rsid w:val="00B1620F"/>
    <w:rsid w:val="00B35DC7"/>
    <w:rsid w:val="00B41F1B"/>
    <w:rsid w:val="00B860D3"/>
    <w:rsid w:val="00B8647F"/>
    <w:rsid w:val="00BA6599"/>
    <w:rsid w:val="00BB7195"/>
    <w:rsid w:val="00BC3F80"/>
    <w:rsid w:val="00BC7B50"/>
    <w:rsid w:val="00BD188B"/>
    <w:rsid w:val="00BF49E9"/>
    <w:rsid w:val="00BF7C1C"/>
    <w:rsid w:val="00C00688"/>
    <w:rsid w:val="00C12048"/>
    <w:rsid w:val="00C13F0E"/>
    <w:rsid w:val="00C21AEA"/>
    <w:rsid w:val="00C30B45"/>
    <w:rsid w:val="00C33550"/>
    <w:rsid w:val="00C378AA"/>
    <w:rsid w:val="00C863E2"/>
    <w:rsid w:val="00C92998"/>
    <w:rsid w:val="00C93D04"/>
    <w:rsid w:val="00CC0E1B"/>
    <w:rsid w:val="00CC2C28"/>
    <w:rsid w:val="00CC6F15"/>
    <w:rsid w:val="00CD3788"/>
    <w:rsid w:val="00CD67A5"/>
    <w:rsid w:val="00CE29C5"/>
    <w:rsid w:val="00CE30D8"/>
    <w:rsid w:val="00CE67C7"/>
    <w:rsid w:val="00CF6B5F"/>
    <w:rsid w:val="00D10E69"/>
    <w:rsid w:val="00D110A5"/>
    <w:rsid w:val="00D14FDC"/>
    <w:rsid w:val="00D1538F"/>
    <w:rsid w:val="00D324E3"/>
    <w:rsid w:val="00D40DAB"/>
    <w:rsid w:val="00D54616"/>
    <w:rsid w:val="00D64B14"/>
    <w:rsid w:val="00D93AEE"/>
    <w:rsid w:val="00D93CFC"/>
    <w:rsid w:val="00D9496F"/>
    <w:rsid w:val="00D95C78"/>
    <w:rsid w:val="00DA60C1"/>
    <w:rsid w:val="00DC0F1C"/>
    <w:rsid w:val="00DC1F36"/>
    <w:rsid w:val="00DC57A5"/>
    <w:rsid w:val="00DC77B1"/>
    <w:rsid w:val="00DD5ECB"/>
    <w:rsid w:val="00DD6B16"/>
    <w:rsid w:val="00DE036A"/>
    <w:rsid w:val="00DE11B6"/>
    <w:rsid w:val="00E05CF3"/>
    <w:rsid w:val="00E2511A"/>
    <w:rsid w:val="00E351D1"/>
    <w:rsid w:val="00E71663"/>
    <w:rsid w:val="00E90F4D"/>
    <w:rsid w:val="00EA0CBC"/>
    <w:rsid w:val="00EB05D7"/>
    <w:rsid w:val="00EC3337"/>
    <w:rsid w:val="00EC7038"/>
    <w:rsid w:val="00ED467B"/>
    <w:rsid w:val="00EE2E46"/>
    <w:rsid w:val="00EE4C97"/>
    <w:rsid w:val="00EE6101"/>
    <w:rsid w:val="00EF4036"/>
    <w:rsid w:val="00F06B18"/>
    <w:rsid w:val="00F10DEA"/>
    <w:rsid w:val="00F13BD5"/>
    <w:rsid w:val="00F17C16"/>
    <w:rsid w:val="00F2453C"/>
    <w:rsid w:val="00F2487F"/>
    <w:rsid w:val="00F3105E"/>
    <w:rsid w:val="00F31E1F"/>
    <w:rsid w:val="00F40F8D"/>
    <w:rsid w:val="00F431B8"/>
    <w:rsid w:val="00F57E7A"/>
    <w:rsid w:val="00F630BB"/>
    <w:rsid w:val="00F97A19"/>
    <w:rsid w:val="00FD3829"/>
    <w:rsid w:val="00FD4C13"/>
    <w:rsid w:val="00FE23D4"/>
    <w:rsid w:val="00FE5A91"/>
    <w:rsid w:val="00FF5F4A"/>
    <w:rsid w:val="133E5E0E"/>
    <w:rsid w:val="158863A5"/>
    <w:rsid w:val="26F17DA2"/>
    <w:rsid w:val="326E3737"/>
    <w:rsid w:val="347810FC"/>
    <w:rsid w:val="3A4C4037"/>
    <w:rsid w:val="3A782E9B"/>
    <w:rsid w:val="49D27B18"/>
    <w:rsid w:val="67B46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5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7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5"/>
    <w:link w:val="2"/>
    <w:qFormat/>
    <w:uiPriority w:val="99"/>
    <w:rPr>
      <w:sz w:val="18"/>
      <w:szCs w:val="18"/>
    </w:rPr>
  </w:style>
  <w:style w:type="paragraph" w:customStyle="1" w:styleId="9">
    <w:name w:val="EndNote Bibliography Title"/>
    <w:basedOn w:val="1"/>
    <w:link w:val="10"/>
    <w:qFormat/>
    <w:uiPriority w:val="0"/>
    <w:pPr>
      <w:jc w:val="center"/>
    </w:pPr>
    <w:rPr>
      <w:rFonts w:ascii="Times New Roman" w:hAnsi="Times New Roman" w:eastAsia="等线" w:cs="Times New Roman"/>
      <w:sz w:val="20"/>
    </w:rPr>
  </w:style>
  <w:style w:type="character" w:customStyle="1" w:styleId="10">
    <w:name w:val="EndNote Bibliography Title 字符"/>
    <w:basedOn w:val="5"/>
    <w:link w:val="9"/>
    <w:qFormat/>
    <w:uiPriority w:val="0"/>
    <w:rPr>
      <w:rFonts w:ascii="Times New Roman" w:hAnsi="Times New Roman" w:eastAsia="等线" w:cs="Times New Roman"/>
      <w:kern w:val="2"/>
      <w:szCs w:val="22"/>
    </w:rPr>
  </w:style>
  <w:style w:type="paragraph" w:customStyle="1" w:styleId="11">
    <w:name w:val="EndNote Bibliography"/>
    <w:basedOn w:val="1"/>
    <w:link w:val="12"/>
    <w:qFormat/>
    <w:uiPriority w:val="0"/>
    <w:rPr>
      <w:rFonts w:ascii="Times New Roman" w:hAnsi="Times New Roman" w:eastAsia="等线" w:cs="Times New Roman"/>
      <w:sz w:val="20"/>
    </w:rPr>
  </w:style>
  <w:style w:type="character" w:customStyle="1" w:styleId="12">
    <w:name w:val="EndNote Bibliography 字符"/>
    <w:basedOn w:val="5"/>
    <w:link w:val="11"/>
    <w:qFormat/>
    <w:uiPriority w:val="0"/>
    <w:rPr>
      <w:rFonts w:ascii="Times New Roman" w:hAnsi="Times New Roman" w:eastAsia="等线" w:cs="Times New Roman"/>
      <w:kern w:val="2"/>
      <w:szCs w:val="22"/>
    </w:rPr>
  </w:style>
  <w:style w:type="character" w:customStyle="1" w:styleId="13">
    <w:name w:val="Unresolved Mention"/>
    <w:basedOn w:val="5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2" Type="http://schemas.openxmlformats.org/officeDocument/2006/relationships/fontTable" Target="fontTable.xml"/><Relationship Id="rId21" Type="http://schemas.openxmlformats.org/officeDocument/2006/relationships/image" Target="media/image17.png"/><Relationship Id="rId20" Type="http://schemas.openxmlformats.org/officeDocument/2006/relationships/image" Target="media/image16.png"/><Relationship Id="rId2" Type="http://schemas.openxmlformats.org/officeDocument/2006/relationships/settings" Target="settings.xml"/><Relationship Id="rId19" Type="http://schemas.openxmlformats.org/officeDocument/2006/relationships/image" Target="media/image15.png"/><Relationship Id="rId18" Type="http://schemas.openxmlformats.org/officeDocument/2006/relationships/image" Target="media/image14.png"/><Relationship Id="rId17" Type="http://schemas.openxmlformats.org/officeDocument/2006/relationships/image" Target="media/image13.png"/><Relationship Id="rId16" Type="http://schemas.openxmlformats.org/officeDocument/2006/relationships/image" Target="media/image12.png"/><Relationship Id="rId15" Type="http://schemas.openxmlformats.org/officeDocument/2006/relationships/image" Target="media/image11.png"/><Relationship Id="rId14" Type="http://schemas.openxmlformats.org/officeDocument/2006/relationships/image" Target="media/image10.png"/><Relationship Id="rId13" Type="http://schemas.openxmlformats.org/officeDocument/2006/relationships/image" Target="media/image9.png"/><Relationship Id="rId12" Type="http://schemas.openxmlformats.org/officeDocument/2006/relationships/image" Target="media/image8.png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23</Pages>
  <Words>1264</Words>
  <Characters>7250</Characters>
  <Lines>61</Lines>
  <Paragraphs>17</Paragraphs>
  <TotalTime>64</TotalTime>
  <ScaleCrop>false</ScaleCrop>
  <LinksUpToDate>false</LinksUpToDate>
  <CharactersWithSpaces>8356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2023-05-12T14:50:00Z</dcterms:created>
  <dc:creator>刘 赫</dc:creator>
  <cp:lastModifiedBy>南湖刘皇叔</cp:lastModifiedBy>
  <dcterms:modified xsi:type="dcterms:W3CDTF">2023-12-22T10:55:34Z</dcterms:modified>
  <cp:revision>269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EE07CD4CAACC42B8B5D5F3DF9C57C18C_12</vt:lpwstr>
  </property>
</Properties>
</file>