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706F8" w14:textId="20C019E9" w:rsidR="0017170C" w:rsidRPr="000723C2" w:rsidRDefault="0017170C" w:rsidP="00640FB7">
      <w:pPr>
        <w:spacing w:before="120" w:after="120"/>
        <w:rPr>
          <w:rFonts w:ascii="Times New Roman" w:eastAsia="MS Mincho" w:hAnsi="Times New Roman" w:cs="Times New Roman"/>
          <w:sz w:val="28"/>
          <w:szCs w:val="28"/>
          <w:lang w:eastAsia="ja-JP"/>
        </w:rPr>
      </w:pPr>
      <w:r w:rsidRPr="000723C2">
        <w:rPr>
          <w:rFonts w:ascii="Times New Roman" w:eastAsia="MS Mincho" w:hAnsi="Times New Roman" w:cs="Times New Roman"/>
          <w:sz w:val="24"/>
          <w:szCs w:val="24"/>
          <w:lang w:eastAsia="ja-JP"/>
        </w:rPr>
        <w:t xml:space="preserve">Supporting </w:t>
      </w:r>
      <w:r w:rsidR="00AA0092" w:rsidRPr="000723C2">
        <w:rPr>
          <w:rFonts w:ascii="Times New Roman" w:eastAsia="MS Mincho" w:hAnsi="Times New Roman" w:cs="Times New Roman"/>
          <w:sz w:val="24"/>
          <w:szCs w:val="24"/>
          <w:lang w:eastAsia="ja-JP"/>
        </w:rPr>
        <w:t>I</w:t>
      </w:r>
      <w:r w:rsidR="00AA0092" w:rsidRPr="000723C2">
        <w:rPr>
          <w:rFonts w:ascii="Times New Roman" w:hAnsi="Times New Roman" w:cs="Times New Roman"/>
          <w:sz w:val="24"/>
          <w:szCs w:val="24"/>
        </w:rPr>
        <w:t>nf</w:t>
      </w:r>
      <w:r w:rsidR="00AA0092" w:rsidRPr="000723C2">
        <w:rPr>
          <w:rFonts w:ascii="Times New Roman" w:eastAsia="MS Mincho" w:hAnsi="Times New Roman" w:cs="Times New Roman"/>
          <w:sz w:val="24"/>
          <w:szCs w:val="24"/>
          <w:lang w:eastAsia="ja-JP"/>
        </w:rPr>
        <w:t>ormation for</w:t>
      </w:r>
    </w:p>
    <w:p w14:paraId="45D1E516" w14:textId="77777777" w:rsidR="00CB2D2B" w:rsidRPr="000723C2" w:rsidRDefault="00CB2D2B" w:rsidP="00640FB7">
      <w:pPr>
        <w:widowControl/>
        <w:spacing w:before="120" w:after="120"/>
        <w:jc w:val="left"/>
        <w:rPr>
          <w:rFonts w:ascii="Times New Roman" w:eastAsia="MS Mincho" w:hAnsi="Times New Roman" w:cs="Times New Roman"/>
          <w:b/>
          <w:bCs/>
          <w:kern w:val="0"/>
          <w:sz w:val="28"/>
          <w:szCs w:val="28"/>
          <w:lang w:val="en-GB" w:eastAsia="ja-JP"/>
        </w:rPr>
      </w:pPr>
      <w:bookmarkStart w:id="0" w:name="_Hlk217314069"/>
      <w:r w:rsidRPr="000723C2">
        <w:rPr>
          <w:rFonts w:ascii="Times New Roman" w:eastAsia="MS Mincho" w:hAnsi="Times New Roman" w:cs="Times New Roman"/>
          <w:b/>
          <w:bCs/>
          <w:kern w:val="0"/>
          <w:sz w:val="28"/>
          <w:szCs w:val="28"/>
          <w:lang w:val="en-GB" w:eastAsia="ja-JP"/>
        </w:rPr>
        <w:t>Thin-Film-Engineered Self-Assembly of 3D Coaxial Microfluidics with a Tunable Polyimide Membrane for Bioelectronic Power</w:t>
      </w:r>
    </w:p>
    <w:bookmarkEnd w:id="0"/>
    <w:p w14:paraId="204E4F68"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lang w:val="en-GB" w:eastAsia="ja-JP"/>
        </w:rPr>
        <w:t>Aleksandr I. Egunov</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Hongmei Tang</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Pablo E. Saenz</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Dmitriy D. Karnaushenko</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Yumin Luo</w:t>
      </w:r>
      <w:r w:rsidRPr="000723C2">
        <w:rPr>
          <w:rFonts w:ascii="Times New Roman" w:eastAsia="MS Mincho" w:hAnsi="Times New Roman" w:cs="Times New Roman"/>
          <w:kern w:val="0"/>
          <w:sz w:val="24"/>
          <w:szCs w:val="24"/>
          <w:vertAlign w:val="superscript"/>
          <w:lang w:val="en-GB" w:eastAsia="ja-JP"/>
        </w:rPr>
        <w:t>1,2</w:t>
      </w:r>
      <w:r w:rsidRPr="000723C2">
        <w:rPr>
          <w:rFonts w:ascii="Times New Roman" w:eastAsia="MS Mincho" w:hAnsi="Times New Roman" w:cs="Times New Roman"/>
          <w:kern w:val="0"/>
          <w:sz w:val="24"/>
          <w:szCs w:val="24"/>
          <w:lang w:val="en-GB" w:eastAsia="ja-JP"/>
        </w:rPr>
        <w:t>, Chao Zhong</w:t>
      </w:r>
      <w:r w:rsidRPr="000723C2">
        <w:rPr>
          <w:rFonts w:ascii="Times New Roman" w:eastAsia="MS Mincho" w:hAnsi="Times New Roman" w:cs="Times New Roman"/>
          <w:kern w:val="0"/>
          <w:sz w:val="24"/>
          <w:szCs w:val="24"/>
          <w:vertAlign w:val="superscript"/>
          <w:lang w:val="en-GB" w:eastAsia="ja-JP"/>
        </w:rPr>
        <w:t>3</w:t>
      </w:r>
      <w:r w:rsidRPr="000723C2">
        <w:rPr>
          <w:rFonts w:ascii="Times New Roman" w:eastAsia="MS Mincho" w:hAnsi="Times New Roman" w:cs="Times New Roman"/>
          <w:kern w:val="0"/>
          <w:sz w:val="24"/>
          <w:szCs w:val="24"/>
          <w:lang w:val="en-GB" w:eastAsia="ja-JP"/>
        </w:rPr>
        <w:t>, Xinyu Wang</w:t>
      </w:r>
      <w:r w:rsidRPr="000723C2">
        <w:rPr>
          <w:rFonts w:ascii="Times New Roman" w:eastAsia="MS Mincho" w:hAnsi="Times New Roman" w:cs="Times New Roman"/>
          <w:kern w:val="0"/>
          <w:sz w:val="28"/>
          <w:szCs w:val="28"/>
          <w:vertAlign w:val="superscript"/>
          <w:lang w:val="en-GB" w:eastAsia="ja-JP"/>
        </w:rPr>
        <w:t>3</w:t>
      </w:r>
      <w:r w:rsidRPr="000723C2">
        <w:rPr>
          <w:rFonts w:ascii="Times New Roman" w:eastAsia="MS Mincho" w:hAnsi="Times New Roman" w:cs="Times New Roman"/>
          <w:kern w:val="0"/>
          <w:sz w:val="24"/>
          <w:szCs w:val="24"/>
          <w:lang w:val="en-GB" w:eastAsia="ja-JP"/>
        </w:rPr>
        <w:t>, Yang Huang</w:t>
      </w:r>
      <w:r w:rsidRPr="000723C2">
        <w:rPr>
          <w:rFonts w:ascii="Times New Roman" w:eastAsia="MS Mincho" w:hAnsi="Times New Roman" w:cs="Times New Roman"/>
          <w:kern w:val="0"/>
          <w:sz w:val="24"/>
          <w:szCs w:val="24"/>
          <w:vertAlign w:val="superscript"/>
          <w:lang w:val="en-GB" w:eastAsia="ja-JP"/>
        </w:rPr>
        <w:t>4</w:t>
      </w:r>
      <w:r w:rsidRPr="000723C2">
        <w:rPr>
          <w:rFonts w:ascii="Times New Roman" w:eastAsia="MS Mincho" w:hAnsi="Times New Roman" w:cs="Times New Roman"/>
          <w:kern w:val="0"/>
          <w:sz w:val="24"/>
          <w:szCs w:val="24"/>
          <w:lang w:val="en-GB" w:eastAsia="ja-JP"/>
        </w:rPr>
        <w:t>, Pavel Fedorov</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Leandro Merces</w:t>
      </w:r>
      <w:r w:rsidRPr="000723C2">
        <w:rPr>
          <w:rFonts w:ascii="Times New Roman" w:eastAsia="MS Mincho" w:hAnsi="Times New Roman" w:cs="Times New Roman"/>
          <w:kern w:val="0"/>
          <w:sz w:val="24"/>
          <w:szCs w:val="24"/>
          <w:vertAlign w:val="superscript"/>
          <w:lang w:val="en-GB" w:eastAsia="ja-JP"/>
        </w:rPr>
        <w:t>1,5</w:t>
      </w:r>
      <w:r w:rsidRPr="000723C2">
        <w:rPr>
          <w:rFonts w:ascii="Times New Roman" w:eastAsia="MS Mincho" w:hAnsi="Times New Roman" w:cs="Times New Roman"/>
          <w:kern w:val="0"/>
          <w:sz w:val="24"/>
          <w:szCs w:val="24"/>
          <w:lang w:val="en-GB" w:eastAsia="ja-JP"/>
        </w:rPr>
        <w:t>, Minshen Zhu</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Daniil Karnaushenko</w:t>
      </w:r>
      <w:r w:rsidRPr="000723C2">
        <w:rPr>
          <w:rFonts w:ascii="Times New Roman" w:eastAsia="MS Mincho" w:hAnsi="Times New Roman" w:cs="Times New Roman"/>
          <w:kern w:val="0"/>
          <w:sz w:val="24"/>
          <w:szCs w:val="24"/>
          <w:vertAlign w:val="superscript"/>
          <w:lang w:val="en-GB" w:eastAsia="ja-JP"/>
        </w:rPr>
        <w:t>1</w:t>
      </w:r>
      <w:r w:rsidRPr="000723C2">
        <w:rPr>
          <w:rFonts w:ascii="Times New Roman" w:eastAsia="MS Mincho" w:hAnsi="Times New Roman" w:cs="Times New Roman"/>
          <w:kern w:val="0"/>
          <w:sz w:val="24"/>
          <w:szCs w:val="24"/>
          <w:lang w:val="en-GB" w:eastAsia="ja-JP"/>
        </w:rPr>
        <w:t xml:space="preserve">* and </w:t>
      </w:r>
      <w:bookmarkStart w:id="1" w:name="OLE_LINK1"/>
      <w:r w:rsidRPr="000723C2">
        <w:rPr>
          <w:rFonts w:ascii="Times New Roman" w:eastAsia="MS Mincho" w:hAnsi="Times New Roman" w:cs="Times New Roman"/>
          <w:kern w:val="0"/>
          <w:sz w:val="24"/>
          <w:szCs w:val="24"/>
          <w:lang w:val="en-GB" w:eastAsia="ja-JP"/>
        </w:rPr>
        <w:t>Oliver G. Schmidt</w:t>
      </w:r>
      <w:bookmarkEnd w:id="1"/>
      <w:r w:rsidRPr="000723C2">
        <w:rPr>
          <w:rFonts w:ascii="Times New Roman" w:eastAsia="MS Mincho" w:hAnsi="Times New Roman" w:cs="Times New Roman"/>
          <w:kern w:val="0"/>
          <w:sz w:val="24"/>
          <w:szCs w:val="24"/>
          <w:vertAlign w:val="superscript"/>
          <w:lang w:val="en-GB" w:eastAsia="ja-JP"/>
        </w:rPr>
        <w:t>1,6,7</w:t>
      </w:r>
      <w:r w:rsidRPr="000723C2">
        <w:rPr>
          <w:rFonts w:ascii="Times New Roman" w:eastAsia="MS Mincho" w:hAnsi="Times New Roman" w:cs="Times New Roman"/>
          <w:kern w:val="0"/>
          <w:sz w:val="24"/>
          <w:szCs w:val="24"/>
          <w:lang w:val="en-GB" w:eastAsia="ja-JP"/>
        </w:rPr>
        <w:t>*</w:t>
      </w:r>
    </w:p>
    <w:p w14:paraId="77490BD7"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 xml:space="preserve">1 </w:t>
      </w:r>
      <w:r w:rsidRPr="000723C2">
        <w:rPr>
          <w:rFonts w:ascii="Times New Roman" w:eastAsia="MS Mincho" w:hAnsi="Times New Roman" w:cs="Times New Roman"/>
          <w:kern w:val="0"/>
          <w:sz w:val="24"/>
          <w:szCs w:val="24"/>
          <w:lang w:val="en-GB" w:eastAsia="ja-JP"/>
        </w:rPr>
        <w:t>Research Center for Materials, Architectures and Integration of Nanomembranes, Chemnitz University of Technology, Chemnitz, Germany</w:t>
      </w:r>
    </w:p>
    <w:p w14:paraId="485826C0"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2</w:t>
      </w:r>
      <w:r w:rsidRPr="000723C2">
        <w:rPr>
          <w:rFonts w:ascii="Times New Roman" w:eastAsia="MS Mincho" w:hAnsi="Times New Roman" w:cs="Times New Roman"/>
          <w:kern w:val="0"/>
          <w:sz w:val="24"/>
          <w:szCs w:val="24"/>
          <w:lang w:val="en-GB" w:eastAsia="ja-JP"/>
        </w:rPr>
        <w:t xml:space="preserve"> Chair of Microsystems Technology, Ruhr University Bochum, Bochum, Germany </w:t>
      </w:r>
    </w:p>
    <w:p w14:paraId="78D36019"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 xml:space="preserve">3 </w:t>
      </w:r>
      <w:r w:rsidRPr="000723C2">
        <w:rPr>
          <w:rFonts w:ascii="Times New Roman" w:eastAsia="MS Mincho" w:hAnsi="Times New Roman" w:cs="Times New Roman"/>
          <w:kern w:val="0"/>
          <w:sz w:val="24"/>
          <w:szCs w:val="24"/>
          <w:lang w:val="en-GB" w:eastAsia="ja-JP"/>
        </w:rPr>
        <w:t xml:space="preserve">Shenzhen Key Laboratory of Materials Synthetic Biology, Key Laboratory of Quantitative Synthetic Biology, Shenzhen Institute of Synthetic Biology, Shenzhen Institutes of Advanced </w:t>
      </w:r>
      <w:bookmarkStart w:id="2" w:name="_GoBack"/>
      <w:bookmarkEnd w:id="2"/>
      <w:r w:rsidRPr="000723C2">
        <w:rPr>
          <w:rFonts w:ascii="Times New Roman" w:eastAsia="MS Mincho" w:hAnsi="Times New Roman" w:cs="Times New Roman"/>
          <w:kern w:val="0"/>
          <w:sz w:val="24"/>
          <w:szCs w:val="24"/>
          <w:lang w:val="en-GB" w:eastAsia="ja-JP"/>
        </w:rPr>
        <w:t>Technology, Chinese Academy of Sciences, Shenzhen, P. R. China</w:t>
      </w:r>
    </w:p>
    <w:p w14:paraId="601AA2CE"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4</w:t>
      </w:r>
      <w:r w:rsidRPr="000723C2">
        <w:rPr>
          <w:rFonts w:ascii="Times New Roman" w:eastAsia="MS Mincho" w:hAnsi="Times New Roman" w:cs="Times New Roman"/>
          <w:kern w:val="0"/>
          <w:sz w:val="24"/>
          <w:szCs w:val="24"/>
          <w:lang w:val="en-GB" w:eastAsia="ja-JP"/>
        </w:rPr>
        <w:t xml:space="preserve"> Departament of Physics and Materials Science, City Univercity of Hong Kong, Hong Kong, P. R. China</w:t>
      </w:r>
    </w:p>
    <w:p w14:paraId="78E49F42"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 xml:space="preserve">5 </w:t>
      </w:r>
      <w:r w:rsidRPr="000723C2">
        <w:rPr>
          <w:rFonts w:ascii="Times New Roman" w:eastAsia="MS Mincho" w:hAnsi="Times New Roman" w:cs="Times New Roman"/>
          <w:kern w:val="0"/>
          <w:sz w:val="24"/>
          <w:szCs w:val="24"/>
          <w:lang w:val="en-GB" w:eastAsia="ja-JP"/>
        </w:rPr>
        <w:t>Ilum School of Science, Brazilian Center for Research in Energy and Materials, Campinas, Brazil</w:t>
      </w:r>
    </w:p>
    <w:p w14:paraId="75BEB2CA"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 xml:space="preserve">6 </w:t>
      </w:r>
      <w:r w:rsidRPr="000723C2">
        <w:rPr>
          <w:rFonts w:ascii="Times New Roman" w:eastAsia="MS Mincho" w:hAnsi="Times New Roman" w:cs="Times New Roman"/>
          <w:kern w:val="0"/>
          <w:sz w:val="24"/>
          <w:szCs w:val="24"/>
          <w:lang w:val="en-GB" w:eastAsia="ja-JP"/>
        </w:rPr>
        <w:t>Material Systems for Nanoelectronics, Chemnitz University of Technology, Chemnitz, Germany</w:t>
      </w:r>
    </w:p>
    <w:p w14:paraId="2FDDED7D"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en-GB" w:eastAsia="ja-JP"/>
        </w:rPr>
      </w:pPr>
      <w:r w:rsidRPr="000723C2">
        <w:rPr>
          <w:rFonts w:ascii="Times New Roman" w:eastAsia="MS Mincho" w:hAnsi="Times New Roman" w:cs="Times New Roman"/>
          <w:kern w:val="0"/>
          <w:sz w:val="24"/>
          <w:szCs w:val="24"/>
          <w:vertAlign w:val="superscript"/>
          <w:lang w:val="en-GB" w:eastAsia="ja-JP"/>
        </w:rPr>
        <w:t xml:space="preserve">7 </w:t>
      </w:r>
      <w:r w:rsidRPr="000723C2">
        <w:rPr>
          <w:rFonts w:ascii="Times New Roman" w:eastAsia="MS Mincho" w:hAnsi="Times New Roman" w:cs="Times New Roman"/>
          <w:kern w:val="0"/>
          <w:sz w:val="24"/>
          <w:szCs w:val="24"/>
          <w:lang w:val="en-GB" w:eastAsia="ja-JP"/>
        </w:rPr>
        <w:t>Nanophysics, Dresden University of Technology, Dresden, Germany</w:t>
      </w:r>
    </w:p>
    <w:p w14:paraId="6FECA2DC" w14:textId="77777777" w:rsidR="00CB2D2B" w:rsidRPr="000723C2" w:rsidRDefault="00CB2D2B" w:rsidP="00640FB7">
      <w:pPr>
        <w:widowControl/>
        <w:spacing w:before="120" w:after="120"/>
        <w:jc w:val="left"/>
        <w:rPr>
          <w:rFonts w:ascii="Times New Roman" w:eastAsia="MS Mincho" w:hAnsi="Times New Roman" w:cs="Times New Roman"/>
          <w:kern w:val="0"/>
          <w:sz w:val="24"/>
          <w:szCs w:val="24"/>
          <w:lang w:val="it-IT" w:eastAsia="ja-JP"/>
        </w:rPr>
      </w:pPr>
      <w:r w:rsidRPr="000723C2">
        <w:rPr>
          <w:rFonts w:ascii="Times New Roman" w:eastAsia="MS Mincho" w:hAnsi="Times New Roman" w:cs="Times New Roman"/>
          <w:kern w:val="0"/>
          <w:sz w:val="24"/>
          <w:szCs w:val="24"/>
          <w:lang w:val="en-GB" w:eastAsia="ja-JP"/>
        </w:rPr>
        <w:t xml:space="preserve">*Corresponding authors. E-mail: </w:t>
      </w:r>
      <w:hyperlink r:id="rId6" w:history="1">
        <w:r w:rsidRPr="000723C2">
          <w:rPr>
            <w:rFonts w:ascii="Times New Roman" w:eastAsia="MS Mincho" w:hAnsi="Times New Roman" w:cs="Times New Roman"/>
            <w:kern w:val="0"/>
            <w:sz w:val="24"/>
            <w:szCs w:val="24"/>
            <w:lang w:val="en-GB" w:eastAsia="ja-JP"/>
          </w:rPr>
          <w:t>aleksandr.egunov@main.tu-chemnitz.de</w:t>
        </w:r>
      </w:hyperlink>
      <w:r w:rsidRPr="000723C2">
        <w:rPr>
          <w:rFonts w:ascii="Times New Roman" w:eastAsia="MS Mincho" w:hAnsi="Times New Roman" w:cs="Times New Roman"/>
          <w:kern w:val="0"/>
          <w:sz w:val="24"/>
          <w:szCs w:val="24"/>
          <w:lang w:val="en-GB" w:eastAsia="ja-JP"/>
        </w:rPr>
        <w:t xml:space="preserve"> (Aleksandr I. Egunov); </w:t>
      </w:r>
      <w:hyperlink r:id="rId7" w:history="1">
        <w:r w:rsidRPr="000723C2">
          <w:rPr>
            <w:rFonts w:ascii="Times New Roman" w:eastAsia="MS Mincho" w:hAnsi="Times New Roman" w:cs="Times New Roman"/>
            <w:kern w:val="0"/>
            <w:sz w:val="24"/>
            <w:szCs w:val="24"/>
            <w:lang w:val="it-IT" w:eastAsia="ja-JP"/>
          </w:rPr>
          <w:t>minshen.zhu@main.tu-chemnitz.de</w:t>
        </w:r>
      </w:hyperlink>
      <w:r w:rsidRPr="000723C2">
        <w:rPr>
          <w:rFonts w:ascii="Times New Roman" w:eastAsia="MS Mincho" w:hAnsi="Times New Roman" w:cs="Times New Roman"/>
          <w:kern w:val="0"/>
          <w:sz w:val="24"/>
          <w:szCs w:val="24"/>
          <w:lang w:val="it-IT" w:eastAsia="ja-JP"/>
        </w:rPr>
        <w:t xml:space="preserve"> (</w:t>
      </w:r>
      <w:r w:rsidRPr="000723C2">
        <w:rPr>
          <w:rFonts w:ascii="Times New Roman" w:eastAsia="MS Mincho" w:hAnsi="Times New Roman" w:cs="Times New Roman"/>
          <w:kern w:val="0"/>
          <w:sz w:val="24"/>
          <w:szCs w:val="24"/>
          <w:lang w:val="en-GB" w:eastAsia="ja-JP"/>
        </w:rPr>
        <w:t>Minshen Zhu</w:t>
      </w:r>
      <w:r w:rsidRPr="000723C2">
        <w:rPr>
          <w:rFonts w:ascii="Times New Roman" w:eastAsia="MS Mincho" w:hAnsi="Times New Roman" w:cs="Times New Roman"/>
          <w:kern w:val="0"/>
          <w:sz w:val="24"/>
          <w:szCs w:val="24"/>
          <w:lang w:val="it-IT" w:eastAsia="ja-JP"/>
        </w:rPr>
        <w:t xml:space="preserve">); </w:t>
      </w:r>
      <w:hyperlink r:id="rId8" w:history="1">
        <w:r w:rsidRPr="000723C2">
          <w:rPr>
            <w:rFonts w:ascii="Times New Roman" w:eastAsia="MS Mincho" w:hAnsi="Times New Roman" w:cs="Times New Roman"/>
            <w:kern w:val="0"/>
            <w:sz w:val="24"/>
            <w:szCs w:val="24"/>
            <w:lang w:val="it-IT" w:eastAsia="ja-JP"/>
          </w:rPr>
          <w:t>daniil.karnaushenko@main.tu-chemnitz.de</w:t>
        </w:r>
      </w:hyperlink>
      <w:r w:rsidRPr="000723C2">
        <w:rPr>
          <w:rFonts w:ascii="Times New Roman" w:eastAsia="MS Mincho" w:hAnsi="Times New Roman" w:cs="Times New Roman"/>
          <w:kern w:val="0"/>
          <w:sz w:val="24"/>
          <w:szCs w:val="24"/>
          <w:lang w:val="it-IT" w:eastAsia="ja-JP"/>
        </w:rPr>
        <w:t xml:space="preserve"> (</w:t>
      </w:r>
      <w:r w:rsidRPr="000723C2">
        <w:rPr>
          <w:rFonts w:ascii="Times New Roman" w:eastAsia="MS Mincho" w:hAnsi="Times New Roman" w:cs="Times New Roman"/>
          <w:kern w:val="0"/>
          <w:sz w:val="24"/>
          <w:szCs w:val="24"/>
          <w:lang w:val="en-GB" w:eastAsia="ja-JP"/>
        </w:rPr>
        <w:t>Daniil Karnaushenko</w:t>
      </w:r>
      <w:r w:rsidRPr="000723C2">
        <w:rPr>
          <w:rFonts w:ascii="Times New Roman" w:eastAsia="MS Mincho" w:hAnsi="Times New Roman" w:cs="Times New Roman"/>
          <w:kern w:val="0"/>
          <w:sz w:val="24"/>
          <w:szCs w:val="24"/>
          <w:lang w:val="it-IT" w:eastAsia="ja-JP"/>
        </w:rPr>
        <w:t xml:space="preserve">); </w:t>
      </w:r>
      <w:hyperlink r:id="rId9" w:history="1">
        <w:r w:rsidRPr="000723C2">
          <w:rPr>
            <w:rFonts w:ascii="Times New Roman" w:eastAsia="MS Mincho" w:hAnsi="Times New Roman" w:cs="Times New Roman"/>
            <w:kern w:val="0"/>
            <w:sz w:val="24"/>
            <w:szCs w:val="24"/>
            <w:lang w:val="it-IT" w:eastAsia="ja-JP"/>
          </w:rPr>
          <w:t>oliver.schmidt@main.tu-chemnitz.de</w:t>
        </w:r>
      </w:hyperlink>
      <w:r w:rsidRPr="000723C2">
        <w:rPr>
          <w:rFonts w:ascii="Times New Roman" w:eastAsia="MS Mincho" w:hAnsi="Times New Roman" w:cs="Times New Roman"/>
          <w:kern w:val="0"/>
          <w:sz w:val="24"/>
          <w:szCs w:val="24"/>
          <w:lang w:val="it-IT" w:eastAsia="ja-JP"/>
        </w:rPr>
        <w:t xml:space="preserve"> (</w:t>
      </w:r>
      <w:r w:rsidRPr="000723C2">
        <w:rPr>
          <w:rFonts w:ascii="Times New Roman" w:eastAsia="MS Mincho" w:hAnsi="Times New Roman" w:cs="Times New Roman"/>
          <w:kern w:val="0"/>
          <w:sz w:val="24"/>
          <w:szCs w:val="24"/>
          <w:lang w:val="en-GB" w:eastAsia="ja-JP"/>
        </w:rPr>
        <w:t>Oliver G. Schmidt</w:t>
      </w:r>
      <w:r w:rsidRPr="000723C2">
        <w:rPr>
          <w:rFonts w:ascii="Times New Roman" w:eastAsia="MS Mincho" w:hAnsi="Times New Roman" w:cs="Times New Roman"/>
          <w:kern w:val="0"/>
          <w:sz w:val="24"/>
          <w:szCs w:val="24"/>
          <w:lang w:val="it-IT" w:eastAsia="ja-JP"/>
        </w:rPr>
        <w:t>)</w:t>
      </w:r>
    </w:p>
    <w:p w14:paraId="65519585" w14:textId="3D1D957B" w:rsidR="0017170C" w:rsidRPr="000723C2" w:rsidRDefault="0017170C" w:rsidP="00AA0092">
      <w:pPr>
        <w:spacing w:before="240" w:after="240"/>
        <w:rPr>
          <w:rFonts w:ascii="Times New Roman" w:eastAsia="MS Mincho" w:hAnsi="Times New Roman"/>
          <w:b/>
          <w:bCs/>
          <w:sz w:val="24"/>
          <w:lang w:eastAsia="ja-JP"/>
        </w:rPr>
      </w:pPr>
      <w:r w:rsidRPr="000723C2">
        <w:rPr>
          <w:rFonts w:ascii="Times New Roman" w:eastAsia="MS Mincho" w:hAnsi="Times New Roman"/>
          <w:b/>
          <w:bCs/>
          <w:sz w:val="28"/>
          <w:szCs w:val="24"/>
          <w:lang w:eastAsia="ja-JP"/>
        </w:rPr>
        <w:t xml:space="preserve">Supplementary </w:t>
      </w:r>
      <w:r w:rsidR="00AA0092" w:rsidRPr="000723C2">
        <w:rPr>
          <w:rFonts w:ascii="Times New Roman" w:eastAsia="MS Mincho" w:hAnsi="Times New Roman"/>
          <w:b/>
          <w:bCs/>
          <w:sz w:val="28"/>
          <w:szCs w:val="24"/>
          <w:lang w:eastAsia="ja-JP"/>
        </w:rPr>
        <w:t>I</w:t>
      </w:r>
      <w:r w:rsidRPr="000723C2">
        <w:rPr>
          <w:rFonts w:ascii="Times New Roman" w:eastAsia="MS Mincho" w:hAnsi="Times New Roman"/>
          <w:b/>
          <w:bCs/>
          <w:sz w:val="28"/>
          <w:szCs w:val="24"/>
          <w:lang w:eastAsia="ja-JP"/>
        </w:rPr>
        <w:t>nformation</w:t>
      </w:r>
    </w:p>
    <w:p w14:paraId="05E20110" w14:textId="77777777" w:rsidR="0017170C" w:rsidRPr="000723C2" w:rsidRDefault="0017170C" w:rsidP="00AA0092">
      <w:pPr>
        <w:spacing w:before="240" w:after="240"/>
        <w:rPr>
          <w:rFonts w:ascii="Times New Roman" w:eastAsia="MS Mincho" w:hAnsi="Times New Roman"/>
          <w:b/>
          <w:sz w:val="24"/>
          <w:lang w:eastAsia="ja-JP"/>
        </w:rPr>
      </w:pPr>
      <w:r w:rsidRPr="000723C2">
        <w:rPr>
          <w:rFonts w:ascii="Times New Roman" w:eastAsia="MS Mincho" w:hAnsi="Times New Roman"/>
          <w:b/>
          <w:sz w:val="24"/>
          <w:lang w:eastAsia="ja-JP"/>
        </w:rPr>
        <w:t>Extended data for Fig. 3, Fig. S6 and Fig. S7</w:t>
      </w:r>
    </w:p>
    <w:p w14:paraId="4A4F6BF3" w14:textId="77777777" w:rsidR="0017170C" w:rsidRPr="000723C2" w:rsidRDefault="0017170C" w:rsidP="00AA0092">
      <w:pPr>
        <w:spacing w:before="240" w:after="240"/>
        <w:rPr>
          <w:rFonts w:ascii="Times New Roman" w:eastAsia="MS Mincho" w:hAnsi="Times New Roman"/>
          <w:b/>
          <w:bCs/>
          <w:sz w:val="24"/>
          <w:lang w:eastAsia="ja-JP"/>
        </w:rPr>
      </w:pPr>
      <w:r w:rsidRPr="000723C2">
        <w:rPr>
          <w:rFonts w:ascii="Times New Roman" w:eastAsia="MS Mincho" w:hAnsi="Times New Roman"/>
          <w:bCs/>
          <w:sz w:val="24"/>
          <w:lang w:eastAsia="ja-JP"/>
        </w:rPr>
        <w:t>The observed impedance and capacitance behavior (Fig. S6) can be directly explained by the physics of electric double-layer (EDL) formation. At low ionic strength (10</w:t>
      </w:r>
      <w:r w:rsidRPr="000723C2">
        <w:rPr>
          <w:rFonts w:ascii="Times New Roman" w:eastAsia="MS Mincho" w:hAnsi="Times New Roman"/>
          <w:bCs/>
          <w:sz w:val="24"/>
          <w:vertAlign w:val="superscript"/>
          <w:lang w:eastAsia="ja-JP"/>
        </w:rPr>
        <w:t>-5</w:t>
      </w:r>
      <w:r w:rsidRPr="000723C2">
        <w:rPr>
          <w:rFonts w:ascii="Times New Roman" w:eastAsia="MS Mincho" w:hAnsi="Times New Roman"/>
          <w:bCs/>
          <w:sz w:val="24"/>
          <w:lang w:eastAsia="ja-JP"/>
        </w:rPr>
        <w:t>–10</w:t>
      </w:r>
      <w:r w:rsidRPr="000723C2">
        <w:rPr>
          <w:rFonts w:ascii="Times New Roman" w:eastAsia="MS Mincho" w:hAnsi="Times New Roman"/>
          <w:bCs/>
          <w:sz w:val="24"/>
          <w:vertAlign w:val="superscript"/>
          <w:lang w:eastAsia="ja-JP"/>
        </w:rPr>
        <w:t>-3</w:t>
      </w:r>
      <w:r w:rsidRPr="000723C2">
        <w:rPr>
          <w:rFonts w:ascii="Times New Roman" w:eastAsia="MS Mincho" w:hAnsi="Times New Roman"/>
          <w:bCs/>
          <w:sz w:val="24"/>
          <w:lang w:eastAsia="ja-JP"/>
        </w:rPr>
        <w:t xml:space="preserve"> M KCl), the Debye screening length (</w:t>
      </w:r>
      <w:r w:rsidRPr="000723C2">
        <w:rPr>
          <w:rFonts w:ascii="Times New Roman" w:hAnsi="Times New Roman"/>
          <w:bCs/>
          <w:i/>
          <w:iCs/>
          <w:sz w:val="24"/>
        </w:rPr>
        <w:t>λ</w:t>
      </w:r>
      <w:r w:rsidRPr="000723C2">
        <w:rPr>
          <w:rFonts w:ascii="Times New Roman" w:hAnsi="Times New Roman"/>
          <w:bCs/>
          <w:i/>
          <w:iCs/>
          <w:sz w:val="24"/>
          <w:vertAlign w:val="subscript"/>
          <w:lang w:val="en-GB"/>
        </w:rPr>
        <w:t>D</w:t>
      </w:r>
      <w:r w:rsidRPr="000723C2">
        <w:rPr>
          <w:rFonts w:ascii="Times New Roman" w:eastAsia="MS Mincho" w:hAnsi="Times New Roman"/>
          <w:bCs/>
          <w:sz w:val="24"/>
          <w:lang w:eastAsia="ja-JP"/>
        </w:rPr>
        <w:t>) (Supplementary Table S1) is extended, reaching ~100 nm at 10⁻⁵ M and ~10 nm at 10</w:t>
      </w:r>
      <w:r w:rsidRPr="000723C2">
        <w:rPr>
          <w:rFonts w:ascii="Times New Roman" w:eastAsia="MS Mincho" w:hAnsi="Times New Roman"/>
          <w:bCs/>
          <w:sz w:val="24"/>
          <w:vertAlign w:val="superscript"/>
          <w:lang w:eastAsia="ja-JP"/>
        </w:rPr>
        <w:t>-3</w:t>
      </w:r>
      <w:r w:rsidRPr="000723C2">
        <w:rPr>
          <w:rFonts w:ascii="Times New Roman" w:eastAsia="MS Mincho" w:hAnsi="Times New Roman"/>
          <w:bCs/>
          <w:sz w:val="24"/>
          <w:lang w:eastAsia="ja-JP"/>
        </w:rPr>
        <w:t xml:space="preserve"> M. In this regime, counterion accumulation at the electrode is incomplete, resulting in low double-layer capacitance and high impedance. This effect is particularly pronounced in 2D IDEs, where limited effective surface area and larger inter-electrode distances restrict efficient charge compensation.</w:t>
      </w:r>
    </w:p>
    <w:p w14:paraId="63ED1866" w14:textId="36E99483" w:rsidR="0017170C" w:rsidRPr="000723C2" w:rsidRDefault="0017170C" w:rsidP="00AA0092">
      <w:pPr>
        <w:spacing w:before="240" w:after="240"/>
        <w:rPr>
          <w:rFonts w:ascii="Times New Roman" w:eastAsia="MS Mincho" w:hAnsi="Times New Roman"/>
          <w:b/>
          <w:bCs/>
          <w:sz w:val="24"/>
          <w:lang w:eastAsia="ja-JP"/>
        </w:rPr>
      </w:pPr>
      <w:r w:rsidRPr="000723C2">
        <w:rPr>
          <w:rFonts w:ascii="Times New Roman" w:eastAsia="MS Mincho" w:hAnsi="Times New Roman"/>
          <w:bCs/>
          <w:sz w:val="24"/>
          <w:lang w:eastAsia="ja-JP"/>
        </w:rPr>
        <w:t>At intermediate concentrations (10</w:t>
      </w:r>
      <w:r w:rsidRPr="000723C2">
        <w:rPr>
          <w:rFonts w:ascii="Times New Roman" w:eastAsia="MS Mincho" w:hAnsi="Times New Roman"/>
          <w:bCs/>
          <w:sz w:val="24"/>
          <w:vertAlign w:val="superscript"/>
          <w:lang w:eastAsia="ja-JP"/>
        </w:rPr>
        <w:t>-2</w:t>
      </w:r>
      <w:r w:rsidRPr="000723C2">
        <w:rPr>
          <w:rFonts w:ascii="Times New Roman" w:eastAsia="MS Mincho" w:hAnsi="Times New Roman"/>
          <w:bCs/>
          <w:sz w:val="24"/>
          <w:lang w:eastAsia="ja-JP"/>
        </w:rPr>
        <w:t>–10</w:t>
      </w:r>
      <w:r w:rsidRPr="000723C2">
        <w:rPr>
          <w:rFonts w:ascii="Times New Roman" w:eastAsia="MS Mincho" w:hAnsi="Times New Roman"/>
          <w:bCs/>
          <w:sz w:val="24"/>
          <w:vertAlign w:val="superscript"/>
          <w:lang w:eastAsia="ja-JP"/>
        </w:rPr>
        <w:t>-1</w:t>
      </w:r>
      <w:r w:rsidRPr="000723C2">
        <w:rPr>
          <w:rFonts w:ascii="Times New Roman" w:eastAsia="MS Mincho" w:hAnsi="Times New Roman"/>
          <w:bCs/>
          <w:sz w:val="24"/>
          <w:lang w:eastAsia="ja-JP"/>
        </w:rPr>
        <w:t xml:space="preserve"> M), </w:t>
      </w:r>
      <w:r w:rsidRPr="000723C2">
        <w:rPr>
          <w:rFonts w:ascii="Times New Roman" w:hAnsi="Times New Roman"/>
          <w:bCs/>
          <w:i/>
          <w:iCs/>
          <w:sz w:val="24"/>
        </w:rPr>
        <w:t>λ</w:t>
      </w:r>
      <w:r w:rsidRPr="000723C2">
        <w:rPr>
          <w:rFonts w:ascii="Times New Roman" w:hAnsi="Times New Roman"/>
          <w:bCs/>
          <w:i/>
          <w:iCs/>
          <w:sz w:val="24"/>
          <w:vertAlign w:val="subscript"/>
          <w:lang w:val="en-GB"/>
        </w:rPr>
        <w:t>D</w:t>
      </w:r>
      <w:r w:rsidRPr="000723C2">
        <w:rPr>
          <w:rFonts w:ascii="Times New Roman" w:eastAsia="MS Mincho" w:hAnsi="Times New Roman"/>
          <w:bCs/>
          <w:sz w:val="24"/>
          <w:lang w:eastAsia="ja-JP"/>
        </w:rPr>
        <w:t xml:space="preserve"> contracts to ~3–1 nm, enabling more effective EDL charging and a marked increase in capacitance. In this range, the coaxial geometry of 3D IDEs provides a decisive advantage: the increased interfacial area and shortened ionic pathways reduce impedance significantly compared to 2D IDEs. PPEs, by contrast, offer extended planar interfaces that sustain strong and uniform EDL formation, leading to the lowest observed impedance across the frequency range.</w:t>
      </w:r>
    </w:p>
    <w:p w14:paraId="19CDFA11" w14:textId="77777777" w:rsidR="0017170C" w:rsidRPr="000723C2" w:rsidRDefault="0017170C" w:rsidP="00AA0092">
      <w:pPr>
        <w:spacing w:before="240" w:after="240"/>
        <w:rPr>
          <w:rFonts w:ascii="Times New Roman" w:eastAsia="MS Mincho" w:hAnsi="Times New Roman"/>
          <w:b/>
          <w:bCs/>
          <w:sz w:val="24"/>
          <w:lang w:eastAsia="ja-JP"/>
        </w:rPr>
      </w:pPr>
      <w:r w:rsidRPr="000723C2">
        <w:rPr>
          <w:rFonts w:ascii="Times New Roman" w:eastAsia="MS Mincho" w:hAnsi="Times New Roman"/>
          <w:bCs/>
          <w:sz w:val="24"/>
          <w:lang w:eastAsia="ja-JP"/>
        </w:rPr>
        <w:t xml:space="preserve">At high ionic strength (1 M KCl), </w:t>
      </w:r>
      <w:r w:rsidRPr="000723C2">
        <w:rPr>
          <w:rFonts w:ascii="Times New Roman" w:hAnsi="Times New Roman"/>
          <w:bCs/>
          <w:i/>
          <w:iCs/>
          <w:sz w:val="24"/>
        </w:rPr>
        <w:t>λ</w:t>
      </w:r>
      <w:r w:rsidRPr="000723C2">
        <w:rPr>
          <w:rFonts w:ascii="Times New Roman" w:hAnsi="Times New Roman"/>
          <w:bCs/>
          <w:i/>
          <w:iCs/>
          <w:sz w:val="24"/>
          <w:vertAlign w:val="subscript"/>
          <w:lang w:val="en-GB"/>
        </w:rPr>
        <w:t>D</w:t>
      </w:r>
      <w:r w:rsidRPr="000723C2">
        <w:rPr>
          <w:rFonts w:ascii="Times New Roman" w:eastAsia="MS Mincho" w:hAnsi="Times New Roman"/>
          <w:bCs/>
          <w:sz w:val="24"/>
          <w:lang w:eastAsia="ja-JP"/>
        </w:rPr>
        <w:t xml:space="preserve"> falls below 1 nm, producing saturated double-layer capacitance at all electrode types. Here, impedance is dominated by bulk electrolyte conductivity, and the performance gap between electrode architectures diminishes. Nonetheless, </w:t>
      </w:r>
      <w:r w:rsidRPr="000723C2">
        <w:rPr>
          <w:rFonts w:ascii="Times New Roman" w:eastAsia="MS Mincho" w:hAnsi="Times New Roman"/>
          <w:bCs/>
          <w:sz w:val="24"/>
          <w:lang w:eastAsia="ja-JP"/>
        </w:rPr>
        <w:lastRenderedPageBreak/>
        <w:t>PPEs maintain the most stable capacitive response, while 3D IDEs preserve broader frequency-dependent charge storage capacity.</w:t>
      </w:r>
    </w:p>
    <w:p w14:paraId="0DFF1F11" w14:textId="77777777" w:rsidR="0017170C" w:rsidRPr="000723C2" w:rsidRDefault="0017170C" w:rsidP="00AA0092">
      <w:pPr>
        <w:spacing w:before="240" w:after="240"/>
        <w:rPr>
          <w:rFonts w:ascii="Times New Roman" w:eastAsia="MS Mincho" w:hAnsi="Times New Roman"/>
          <w:b/>
          <w:bCs/>
          <w:sz w:val="24"/>
          <w:lang w:eastAsia="ja-JP"/>
        </w:rPr>
      </w:pPr>
      <w:r w:rsidRPr="000723C2">
        <w:rPr>
          <w:rFonts w:ascii="Times New Roman" w:eastAsia="MS Mincho" w:hAnsi="Times New Roman"/>
          <w:bCs/>
          <w:sz w:val="24"/>
          <w:lang w:eastAsia="ja-JP"/>
        </w:rPr>
        <w:t>These findings confirm that coaxial self-rolled electrodes provide favorable conditions for EDL formation across a broad concentration range, combining low impedance with stable capacitive behavior. Such characteristics are critical for microbial fuel cell operation, where efficient charge transfer and minimized resistive losses directly translate into improved bioelectrochemical performance.</w:t>
      </w:r>
    </w:p>
    <w:p w14:paraId="2CF6BE6D" w14:textId="77777777" w:rsidR="0017170C" w:rsidRPr="000723C2" w:rsidRDefault="0017170C" w:rsidP="00AA0092">
      <w:pPr>
        <w:spacing w:before="240" w:after="240"/>
        <w:rPr>
          <w:rFonts w:ascii="Times New Roman" w:hAnsi="Times New Roman"/>
          <w:b/>
          <w:sz w:val="24"/>
          <w:lang w:val="en-GB"/>
        </w:rPr>
      </w:pPr>
      <w:r w:rsidRPr="000723C2">
        <w:rPr>
          <w:rFonts w:ascii="Times New Roman" w:hAnsi="Times New Roman"/>
          <w:b/>
          <w:sz w:val="24"/>
          <w:lang w:val="en-GB"/>
        </w:rPr>
        <w:t>Ionic strength dependence (KCl solutions, Fig. 3c and Fig. S6).</w:t>
      </w:r>
    </w:p>
    <w:p w14:paraId="10F42029"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At 1 M KCl, PPEs exhibited impedance values as low as ~1.5 × 10</w:t>
      </w:r>
      <w:r w:rsidRPr="000723C2">
        <w:rPr>
          <w:rFonts w:ascii="Times New Roman" w:hAnsi="Times New Roman"/>
          <w:bCs/>
          <w:sz w:val="24"/>
          <w:vertAlign w:val="superscript"/>
          <w:lang w:val="en-GB"/>
        </w:rPr>
        <w:t>3</w:t>
      </w:r>
      <w:r w:rsidRPr="000723C2">
        <w:rPr>
          <w:rFonts w:ascii="Times New Roman" w:hAnsi="Times New Roman"/>
          <w:bCs/>
          <w:sz w:val="24"/>
          <w:lang w:val="en-GB"/>
        </w:rPr>
        <w:t xml:space="preserve"> </w:t>
      </w:r>
      <w:r w:rsidRPr="000723C2">
        <w:rPr>
          <w:rFonts w:ascii="Times New Roman" w:hAnsi="Times New Roman"/>
          <w:bCs/>
          <w:sz w:val="24"/>
        </w:rPr>
        <w:t>Ω</w:t>
      </w:r>
      <w:r w:rsidRPr="000723C2">
        <w:rPr>
          <w:rFonts w:ascii="Times New Roman" w:hAnsi="Times New Roman"/>
          <w:bCs/>
          <w:sz w:val="24"/>
          <w:lang w:val="en-GB"/>
        </w:rPr>
        <w:t xml:space="preserve"> at 100 Hz, compared to ~1×10</w:t>
      </w:r>
      <w:r w:rsidRPr="000723C2">
        <w:rPr>
          <w:rFonts w:ascii="Times New Roman" w:hAnsi="Times New Roman"/>
          <w:bCs/>
          <w:sz w:val="24"/>
          <w:vertAlign w:val="superscript"/>
          <w:lang w:val="en-GB"/>
        </w:rPr>
        <w:t>5</w:t>
      </w:r>
      <w:r w:rsidRPr="000723C2">
        <w:rPr>
          <w:rFonts w:ascii="Times New Roman" w:hAnsi="Times New Roman"/>
          <w:bCs/>
          <w:sz w:val="24"/>
          <w:lang w:val="en-GB"/>
        </w:rPr>
        <w:t xml:space="preserve"> </w:t>
      </w:r>
      <w:r w:rsidRPr="000723C2">
        <w:rPr>
          <w:rFonts w:ascii="Times New Roman" w:hAnsi="Times New Roman"/>
          <w:bCs/>
          <w:sz w:val="24"/>
        </w:rPr>
        <w:t>Ω</w:t>
      </w:r>
      <w:r w:rsidRPr="000723C2">
        <w:rPr>
          <w:rFonts w:ascii="Times New Roman" w:hAnsi="Times New Roman"/>
          <w:bCs/>
          <w:sz w:val="24"/>
          <w:lang w:val="en-GB"/>
        </w:rPr>
        <w:t xml:space="preserve"> for 2D IDEs and ~1 × 10⁴ </w:t>
      </w:r>
      <w:r w:rsidRPr="000723C2">
        <w:rPr>
          <w:rFonts w:ascii="Times New Roman" w:hAnsi="Times New Roman"/>
          <w:bCs/>
          <w:sz w:val="24"/>
        </w:rPr>
        <w:t>Ω</w:t>
      </w:r>
      <w:r w:rsidRPr="000723C2">
        <w:rPr>
          <w:rFonts w:ascii="Times New Roman" w:hAnsi="Times New Roman"/>
          <w:bCs/>
          <w:sz w:val="24"/>
          <w:lang w:val="en-GB"/>
        </w:rPr>
        <w:t xml:space="preserve"> for 3D IDEs. At lower concentration (10</w:t>
      </w:r>
      <w:r w:rsidRPr="000723C2">
        <w:rPr>
          <w:rFonts w:ascii="Times New Roman" w:hAnsi="Times New Roman"/>
          <w:bCs/>
          <w:sz w:val="24"/>
          <w:vertAlign w:val="superscript"/>
          <w:lang w:val="en-GB"/>
        </w:rPr>
        <w:t>-5</w:t>
      </w:r>
      <w:r w:rsidRPr="000723C2">
        <w:rPr>
          <w:rFonts w:ascii="Times New Roman" w:hAnsi="Times New Roman"/>
          <w:bCs/>
          <w:sz w:val="24"/>
          <w:lang w:val="en-GB"/>
        </w:rPr>
        <w:t xml:space="preserve"> M KCl), impedance increased to ~5×10</w:t>
      </w:r>
      <w:r w:rsidRPr="000723C2">
        <w:rPr>
          <w:rFonts w:ascii="Times New Roman" w:hAnsi="Times New Roman"/>
          <w:bCs/>
          <w:sz w:val="24"/>
          <w:vertAlign w:val="superscript"/>
          <w:lang w:val="en-GB"/>
        </w:rPr>
        <w:t>6</w:t>
      </w:r>
      <w:r w:rsidRPr="000723C2">
        <w:rPr>
          <w:rFonts w:ascii="Times New Roman" w:hAnsi="Times New Roman"/>
          <w:bCs/>
          <w:sz w:val="24"/>
          <w:lang w:val="en-GB"/>
        </w:rPr>
        <w:t xml:space="preserve"> </w:t>
      </w:r>
      <w:r w:rsidRPr="000723C2">
        <w:rPr>
          <w:rFonts w:ascii="Times New Roman" w:hAnsi="Times New Roman"/>
          <w:bCs/>
          <w:sz w:val="24"/>
        </w:rPr>
        <w:t>Ω</w:t>
      </w:r>
      <w:r w:rsidRPr="000723C2">
        <w:rPr>
          <w:rFonts w:ascii="Times New Roman" w:hAnsi="Times New Roman"/>
          <w:bCs/>
          <w:sz w:val="24"/>
          <w:lang w:val="en-GB"/>
        </w:rPr>
        <w:t xml:space="preserve"> for 2D IDEs, ~1 × 10⁶ </w:t>
      </w:r>
      <w:r w:rsidRPr="000723C2">
        <w:rPr>
          <w:rFonts w:ascii="Times New Roman" w:hAnsi="Times New Roman"/>
          <w:bCs/>
          <w:sz w:val="24"/>
        </w:rPr>
        <w:t>Ω</w:t>
      </w:r>
      <w:r w:rsidRPr="000723C2">
        <w:rPr>
          <w:rFonts w:ascii="Times New Roman" w:hAnsi="Times New Roman"/>
          <w:bCs/>
          <w:sz w:val="24"/>
          <w:lang w:val="en-GB"/>
        </w:rPr>
        <w:t xml:space="preserve"> for 3D IDEs, and ~3×10</w:t>
      </w:r>
      <w:r w:rsidRPr="000723C2">
        <w:rPr>
          <w:rFonts w:ascii="Times New Roman" w:hAnsi="Times New Roman"/>
          <w:bCs/>
          <w:sz w:val="24"/>
          <w:vertAlign w:val="superscript"/>
          <w:lang w:val="en-GB"/>
        </w:rPr>
        <w:t>5</w:t>
      </w:r>
      <w:r w:rsidRPr="000723C2">
        <w:rPr>
          <w:rFonts w:ascii="Times New Roman" w:hAnsi="Times New Roman"/>
          <w:bCs/>
          <w:sz w:val="24"/>
          <w:lang w:val="en-GB"/>
        </w:rPr>
        <w:t xml:space="preserve"> </w:t>
      </w:r>
      <w:r w:rsidRPr="000723C2">
        <w:rPr>
          <w:rFonts w:ascii="Times New Roman" w:hAnsi="Times New Roman"/>
          <w:bCs/>
          <w:sz w:val="24"/>
        </w:rPr>
        <w:t>Ω</w:t>
      </w:r>
      <w:r w:rsidRPr="000723C2">
        <w:rPr>
          <w:rFonts w:ascii="Times New Roman" w:hAnsi="Times New Roman"/>
          <w:bCs/>
          <w:sz w:val="24"/>
          <w:lang w:val="en-GB"/>
        </w:rPr>
        <w:t xml:space="preserve"> for PPEs.</w:t>
      </w:r>
    </w:p>
    <w:p w14:paraId="00828018"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This reduction can be described by the classical Debye screening relation:</w:t>
      </w:r>
    </w:p>
    <w:p w14:paraId="2978B8DD" w14:textId="77777777" w:rsidR="0017170C" w:rsidRPr="000723C2" w:rsidRDefault="000723C2" w:rsidP="00AA0092">
      <w:pPr>
        <w:spacing w:before="240" w:after="240"/>
        <w:rPr>
          <w:rFonts w:ascii="Times New Roman" w:hAnsi="Times New Roman"/>
          <w:sz w:val="24"/>
        </w:rPr>
      </w:pPr>
      <m:oMathPara>
        <m:oMath>
          <m:sSub>
            <m:sSubPr>
              <m:ctrlPr>
                <w:rPr>
                  <w:rFonts w:ascii="Cambria Math" w:eastAsiaTheme="minorHAnsi" w:hAnsi="Cambria Math"/>
                  <w:i/>
                  <w:sz w:val="24"/>
                  <w:lang w:val="en-GB" w:eastAsia="en-US"/>
                  <w14:ligatures w14:val="standardContextual"/>
                </w:rPr>
              </m:ctrlPr>
            </m:sSubPr>
            <m:e>
              <m:r>
                <m:rPr>
                  <m:sty m:val="bi"/>
                </m:rPr>
                <w:rPr>
                  <w:rFonts w:ascii="Cambria Math" w:hAnsi="Cambria Math"/>
                  <w:sz w:val="24"/>
                </w:rPr>
                <m:t>λ</m:t>
              </m:r>
            </m:e>
            <m:sub>
              <m:r>
                <m:rPr>
                  <m:sty m:val="bi"/>
                </m:rPr>
                <w:rPr>
                  <w:rFonts w:ascii="Cambria Math" w:hAnsi="Cambria Math"/>
                  <w:sz w:val="24"/>
                </w:rPr>
                <m:t>D</m:t>
              </m:r>
            </m:sub>
          </m:sSub>
          <m:r>
            <m:rPr>
              <m:sty m:val="bi"/>
            </m:rPr>
            <w:rPr>
              <w:rFonts w:ascii="Cambria Math" w:hAnsi="Cambria Math"/>
              <w:sz w:val="24"/>
            </w:rPr>
            <m:t>=</m:t>
          </m:r>
          <m:rad>
            <m:radPr>
              <m:degHide m:val="1"/>
              <m:ctrlPr>
                <w:rPr>
                  <w:rFonts w:ascii="Cambria Math" w:eastAsiaTheme="minorHAnsi" w:hAnsi="Cambria Math"/>
                  <w:i/>
                  <w:sz w:val="24"/>
                  <w:lang w:val="en-GB" w:eastAsia="en-US"/>
                  <w14:ligatures w14:val="standardContextual"/>
                </w:rPr>
              </m:ctrlPr>
            </m:radPr>
            <m:deg/>
            <m:e>
              <m:f>
                <m:fPr>
                  <m:ctrlPr>
                    <w:rPr>
                      <w:rFonts w:ascii="Cambria Math" w:eastAsiaTheme="minorHAnsi" w:hAnsi="Cambria Math"/>
                      <w:i/>
                      <w:sz w:val="24"/>
                      <w:lang w:val="en-GB" w:eastAsia="en-US"/>
                      <w14:ligatures w14:val="standardContextual"/>
                    </w:rPr>
                  </m:ctrlPr>
                </m:fPr>
                <m:num>
                  <m:r>
                    <m:rPr>
                      <m:sty m:val="bi"/>
                    </m:rPr>
                    <w:rPr>
                      <w:rFonts w:ascii="Cambria Math" w:hAnsi="Cambria Math"/>
                      <w:sz w:val="24"/>
                    </w:rPr>
                    <m:t>ε</m:t>
                  </m:r>
                  <m:sSub>
                    <m:sSubPr>
                      <m:ctrlPr>
                        <w:rPr>
                          <w:rFonts w:ascii="Cambria Math" w:eastAsiaTheme="minorHAnsi" w:hAnsi="Cambria Math"/>
                          <w:i/>
                          <w:sz w:val="24"/>
                          <w:lang w:val="en-GB" w:eastAsia="en-US"/>
                          <w14:ligatures w14:val="standardContextual"/>
                        </w:rPr>
                      </m:ctrlPr>
                    </m:sSubPr>
                    <m:e>
                      <m:r>
                        <m:rPr>
                          <m:sty m:val="bi"/>
                        </m:rPr>
                        <w:rPr>
                          <w:rFonts w:ascii="Cambria Math" w:hAnsi="Cambria Math"/>
                          <w:sz w:val="24"/>
                        </w:rPr>
                        <m:t>k</m:t>
                      </m:r>
                    </m:e>
                    <m:sub>
                      <m:r>
                        <m:rPr>
                          <m:sty m:val="bi"/>
                        </m:rPr>
                        <w:rPr>
                          <w:rFonts w:ascii="Cambria Math" w:hAnsi="Cambria Math"/>
                          <w:sz w:val="24"/>
                        </w:rPr>
                        <m:t>B</m:t>
                      </m:r>
                    </m:sub>
                  </m:sSub>
                  <m:r>
                    <m:rPr>
                      <m:sty m:val="bi"/>
                    </m:rPr>
                    <w:rPr>
                      <w:rFonts w:ascii="Cambria Math" w:hAnsi="Cambria Math"/>
                      <w:sz w:val="24"/>
                    </w:rPr>
                    <m:t>T</m:t>
                  </m:r>
                </m:num>
                <m:den>
                  <m:r>
                    <m:rPr>
                      <m:sty m:val="bi"/>
                    </m:rPr>
                    <w:rPr>
                      <w:rFonts w:ascii="Cambria Math" w:hAnsi="Cambria Math"/>
                      <w:sz w:val="24"/>
                    </w:rPr>
                    <m:t>2</m:t>
                  </m:r>
                  <m:sSub>
                    <m:sSubPr>
                      <m:ctrlPr>
                        <w:rPr>
                          <w:rFonts w:ascii="Cambria Math" w:eastAsiaTheme="minorHAnsi" w:hAnsi="Cambria Math"/>
                          <w:i/>
                          <w:sz w:val="24"/>
                          <w:lang w:val="en-GB" w:eastAsia="en-US"/>
                          <w14:ligatures w14:val="standardContextual"/>
                        </w:rPr>
                      </m:ctrlPr>
                    </m:sSubPr>
                    <m:e>
                      <m:r>
                        <m:rPr>
                          <m:sty m:val="bi"/>
                        </m:rPr>
                        <w:rPr>
                          <w:rFonts w:ascii="Cambria Math" w:hAnsi="Cambria Math"/>
                          <w:sz w:val="24"/>
                        </w:rPr>
                        <m:t>N</m:t>
                      </m:r>
                    </m:e>
                    <m:sub>
                      <m:r>
                        <m:rPr>
                          <m:sty m:val="bi"/>
                        </m:rPr>
                        <w:rPr>
                          <w:rFonts w:ascii="Cambria Math" w:hAnsi="Cambria Math"/>
                          <w:sz w:val="24"/>
                        </w:rPr>
                        <m:t>A</m:t>
                      </m:r>
                    </m:sub>
                  </m:sSub>
                  <m:sSup>
                    <m:sSupPr>
                      <m:ctrlPr>
                        <w:rPr>
                          <w:rFonts w:ascii="Cambria Math" w:eastAsiaTheme="minorHAnsi" w:hAnsi="Cambria Math"/>
                          <w:i/>
                          <w:sz w:val="24"/>
                          <w:lang w:val="en-GB" w:eastAsia="en-US"/>
                          <w14:ligatures w14:val="standardContextual"/>
                        </w:rPr>
                      </m:ctrlPr>
                    </m:sSupPr>
                    <m:e>
                      <m:r>
                        <m:rPr>
                          <m:sty m:val="bi"/>
                        </m:rPr>
                        <w:rPr>
                          <w:rFonts w:ascii="Cambria Math" w:hAnsi="Cambria Math"/>
                          <w:sz w:val="24"/>
                        </w:rPr>
                        <m:t>e</m:t>
                      </m:r>
                    </m:e>
                    <m:sup>
                      <m:r>
                        <m:rPr>
                          <m:sty m:val="bi"/>
                        </m:rPr>
                        <w:rPr>
                          <w:rFonts w:ascii="Cambria Math" w:hAnsi="Cambria Math"/>
                          <w:sz w:val="24"/>
                        </w:rPr>
                        <m:t>2</m:t>
                      </m:r>
                    </m:sup>
                  </m:sSup>
                  <m:r>
                    <m:rPr>
                      <m:sty m:val="bi"/>
                    </m:rPr>
                    <w:rPr>
                      <w:rFonts w:ascii="Cambria Math" w:hAnsi="Cambria Math"/>
                      <w:sz w:val="24"/>
                    </w:rPr>
                    <m:t>I</m:t>
                  </m:r>
                </m:den>
              </m:f>
            </m:e>
          </m:rad>
        </m:oMath>
      </m:oMathPara>
    </w:p>
    <w:p w14:paraId="1758CD35"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where </w:t>
      </w:r>
      <w:r w:rsidRPr="000723C2">
        <w:rPr>
          <w:rFonts w:ascii="Times New Roman" w:hAnsi="Times New Roman"/>
          <w:bCs/>
          <w:i/>
          <w:iCs/>
          <w:sz w:val="24"/>
        </w:rPr>
        <w:t>λ</w:t>
      </w:r>
      <w:r w:rsidRPr="000723C2">
        <w:rPr>
          <w:rFonts w:ascii="Times New Roman" w:hAnsi="Times New Roman"/>
          <w:bCs/>
          <w:i/>
          <w:iCs/>
          <w:sz w:val="24"/>
          <w:vertAlign w:val="subscript"/>
          <w:lang w:val="en-GB"/>
        </w:rPr>
        <w:t>D</w:t>
      </w:r>
      <w:r w:rsidRPr="000723C2">
        <w:rPr>
          <w:rFonts w:ascii="Times New Roman" w:hAnsi="Times New Roman"/>
          <w:bCs/>
          <w:i/>
          <w:iCs/>
          <w:sz w:val="24"/>
          <w:lang w:val="en-GB"/>
        </w:rPr>
        <w:t xml:space="preserve"> </w:t>
      </w:r>
      <w:r w:rsidRPr="000723C2">
        <w:rPr>
          <w:rFonts w:ascii="Times New Roman" w:hAnsi="Times New Roman"/>
          <w:bCs/>
          <w:sz w:val="24"/>
          <w:lang w:val="en-GB"/>
        </w:rPr>
        <w:t xml:space="preserve">is the Debye length, </w:t>
      </w:r>
      <w:r w:rsidRPr="000723C2">
        <w:rPr>
          <w:rFonts w:ascii="Times New Roman" w:hAnsi="Times New Roman"/>
          <w:bCs/>
          <w:i/>
          <w:iCs/>
          <w:sz w:val="24"/>
        </w:rPr>
        <w:t>ε</w:t>
      </w:r>
      <w:r w:rsidRPr="000723C2">
        <w:rPr>
          <w:rFonts w:ascii="Times New Roman" w:hAnsi="Times New Roman"/>
          <w:bCs/>
          <w:sz w:val="24"/>
          <w:lang w:val="en-GB"/>
        </w:rPr>
        <w:t xml:space="preserve"> is the dielectric permittivity of water (</w:t>
      </w:r>
      <w:r w:rsidRPr="000723C2">
        <w:rPr>
          <w:rFonts w:ascii="Times New Roman" w:hAnsi="Times New Roman"/>
          <w:bCs/>
          <w:sz w:val="24"/>
        </w:rPr>
        <w:t>ε</w:t>
      </w:r>
      <w:r w:rsidRPr="000723C2">
        <w:rPr>
          <w:rFonts w:ascii="Times New Roman" w:hAnsi="Times New Roman"/>
          <w:bCs/>
          <w:sz w:val="24"/>
          <w:lang w:val="en-GB"/>
        </w:rPr>
        <w:t xml:space="preserve"> ≈ 80), </w:t>
      </w:r>
    </w:p>
    <w:p w14:paraId="44C51DD8"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i/>
          <w:iCs/>
          <w:sz w:val="24"/>
          <w:lang w:val="en-GB"/>
        </w:rPr>
        <w:t>k</w:t>
      </w:r>
      <w:r w:rsidRPr="000723C2">
        <w:rPr>
          <w:rFonts w:ascii="Times New Roman" w:hAnsi="Times New Roman"/>
          <w:bCs/>
          <w:i/>
          <w:iCs/>
          <w:sz w:val="24"/>
          <w:vertAlign w:val="subscript"/>
          <w:lang w:val="en-GB"/>
        </w:rPr>
        <w:t>B</w:t>
      </w:r>
      <w:r w:rsidRPr="000723C2">
        <w:rPr>
          <w:rFonts w:ascii="Times New Roman" w:hAnsi="Times New Roman"/>
          <w:bCs/>
          <w:sz w:val="24"/>
          <w:lang w:val="en-GB"/>
        </w:rPr>
        <w:t xml:space="preserve"> is Boltzmann constant = 1.380×10</w:t>
      </w:r>
      <w:r w:rsidRPr="000723C2">
        <w:rPr>
          <w:rFonts w:ascii="Times New Roman" w:hAnsi="Times New Roman"/>
          <w:bCs/>
          <w:sz w:val="24"/>
          <w:vertAlign w:val="superscript"/>
          <w:lang w:val="en-GB"/>
        </w:rPr>
        <w:t>-23</w:t>
      </w:r>
      <w:r w:rsidRPr="000723C2">
        <w:rPr>
          <w:rFonts w:ascii="Times New Roman" w:hAnsi="Times New Roman"/>
          <w:bCs/>
          <w:sz w:val="24"/>
          <w:lang w:val="en-GB"/>
        </w:rPr>
        <w:t xml:space="preserve"> J·K⁻¹ , </w:t>
      </w:r>
      <w:r w:rsidRPr="000723C2">
        <w:rPr>
          <w:rFonts w:ascii="Times New Roman" w:hAnsi="Times New Roman"/>
          <w:bCs/>
          <w:i/>
          <w:iCs/>
          <w:sz w:val="24"/>
          <w:lang w:val="en-GB"/>
        </w:rPr>
        <w:t>T</w:t>
      </w:r>
      <w:r w:rsidRPr="000723C2">
        <w:rPr>
          <w:rFonts w:ascii="Times New Roman" w:hAnsi="Times New Roman"/>
          <w:bCs/>
          <w:sz w:val="24"/>
          <w:lang w:val="en-GB"/>
        </w:rPr>
        <w:t xml:space="preserve"> — Absolute temperature, assumed 298 K (25 °C), </w:t>
      </w:r>
      <w:r w:rsidRPr="000723C2">
        <w:rPr>
          <w:rFonts w:ascii="Times New Roman" w:hAnsi="Times New Roman"/>
          <w:bCs/>
          <w:i/>
          <w:iCs/>
          <w:sz w:val="24"/>
          <w:lang w:val="en-GB"/>
        </w:rPr>
        <w:t>N</w:t>
      </w:r>
      <w:r w:rsidRPr="000723C2">
        <w:rPr>
          <w:rFonts w:ascii="Times New Roman" w:hAnsi="Times New Roman"/>
          <w:bCs/>
          <w:i/>
          <w:iCs/>
          <w:sz w:val="24"/>
          <w:vertAlign w:val="subscript"/>
          <w:lang w:val="en-GB"/>
        </w:rPr>
        <w:t>A</w:t>
      </w:r>
      <w:r w:rsidRPr="000723C2">
        <w:rPr>
          <w:rFonts w:ascii="Times New Roman" w:hAnsi="Times New Roman"/>
          <w:bCs/>
          <w:sz w:val="24"/>
          <w:lang w:val="en-GB"/>
        </w:rPr>
        <w:t xml:space="preserve"> — Avogadro’s number = 6.022×10</w:t>
      </w:r>
      <w:r w:rsidRPr="000723C2">
        <w:rPr>
          <w:rFonts w:ascii="Times New Roman" w:hAnsi="Times New Roman"/>
          <w:bCs/>
          <w:sz w:val="24"/>
          <w:vertAlign w:val="superscript"/>
          <w:lang w:val="en-GB"/>
        </w:rPr>
        <w:t>23</w:t>
      </w:r>
      <w:r w:rsidRPr="000723C2">
        <w:rPr>
          <w:rFonts w:ascii="Times New Roman" w:hAnsi="Times New Roman"/>
          <w:bCs/>
          <w:sz w:val="24"/>
          <w:lang w:val="en-GB"/>
        </w:rPr>
        <w:t xml:space="preserve"> mol⁻¹, </w:t>
      </w:r>
      <w:r w:rsidRPr="000723C2">
        <w:rPr>
          <w:rFonts w:ascii="Times New Roman" w:hAnsi="Times New Roman"/>
          <w:bCs/>
          <w:i/>
          <w:iCs/>
          <w:sz w:val="24"/>
          <w:lang w:val="en-GB"/>
        </w:rPr>
        <w:t>I</w:t>
      </w:r>
      <w:r w:rsidRPr="000723C2">
        <w:rPr>
          <w:rFonts w:ascii="Times New Roman" w:hAnsi="Times New Roman"/>
          <w:bCs/>
          <w:sz w:val="24"/>
          <w:lang w:val="en-GB"/>
        </w:rPr>
        <w:t xml:space="preserve"> — Ionic strength (mol·L⁻¹), defined as</w:t>
      </w:r>
    </w:p>
    <w:p w14:paraId="5916B069" w14:textId="77777777" w:rsidR="0017170C" w:rsidRPr="000723C2" w:rsidRDefault="0017170C" w:rsidP="00AA0092">
      <w:pPr>
        <w:spacing w:before="240" w:after="240"/>
        <w:rPr>
          <w:rFonts w:ascii="Times New Roman" w:hAnsi="Times New Roman"/>
          <w:sz w:val="24"/>
        </w:rPr>
      </w:pPr>
      <m:oMathPara>
        <m:oMath>
          <m:r>
            <m:rPr>
              <m:sty m:val="bi"/>
            </m:rPr>
            <w:rPr>
              <w:rFonts w:ascii="Cambria Math" w:hAnsi="Cambria Math"/>
              <w:sz w:val="24"/>
            </w:rPr>
            <m:t>I=</m:t>
          </m:r>
          <m:f>
            <m:fPr>
              <m:ctrlPr>
                <w:rPr>
                  <w:rFonts w:ascii="Cambria Math" w:eastAsiaTheme="minorHAnsi" w:hAnsi="Cambria Math"/>
                  <w:i/>
                  <w:sz w:val="24"/>
                  <w:lang w:val="en-GB" w:eastAsia="en-US"/>
                  <w14:ligatures w14:val="standardContextual"/>
                </w:rPr>
              </m:ctrlPr>
            </m:fPr>
            <m:num>
              <m:r>
                <m:rPr>
                  <m:sty m:val="bi"/>
                </m:rPr>
                <w:rPr>
                  <w:rFonts w:ascii="Cambria Math" w:hAnsi="Cambria Math"/>
                  <w:sz w:val="24"/>
                </w:rPr>
                <m:t>1</m:t>
              </m:r>
            </m:num>
            <m:den>
              <m:r>
                <m:rPr>
                  <m:sty m:val="bi"/>
                </m:rPr>
                <w:rPr>
                  <w:rFonts w:ascii="Cambria Math" w:hAnsi="Cambria Math"/>
                  <w:sz w:val="24"/>
                </w:rPr>
                <m:t>2</m:t>
              </m:r>
            </m:den>
          </m:f>
          <m:nary>
            <m:naryPr>
              <m:chr m:val="∑"/>
              <m:limLoc m:val="undOvr"/>
              <m:subHide m:val="1"/>
              <m:supHide m:val="1"/>
              <m:ctrlPr>
                <w:rPr>
                  <w:rFonts w:ascii="Cambria Math" w:eastAsiaTheme="minorHAnsi" w:hAnsi="Cambria Math"/>
                  <w:i/>
                  <w:sz w:val="24"/>
                  <w:lang w:val="en-GB" w:eastAsia="en-US"/>
                  <w14:ligatures w14:val="standardContextual"/>
                </w:rPr>
              </m:ctrlPr>
            </m:naryPr>
            <m:sub/>
            <m:sup/>
            <m:e>
              <m:sSub>
                <m:sSubPr>
                  <m:ctrlPr>
                    <w:rPr>
                      <w:rFonts w:ascii="Cambria Math" w:eastAsiaTheme="minorHAnsi" w:hAnsi="Cambria Math"/>
                      <w:i/>
                      <w:sz w:val="24"/>
                      <w:lang w:val="en-GB" w:eastAsia="en-US"/>
                      <w14:ligatures w14:val="standardContextual"/>
                    </w:rPr>
                  </m:ctrlPr>
                </m:sSubPr>
                <m:e>
                  <m:r>
                    <m:rPr>
                      <m:sty m:val="bi"/>
                    </m:rPr>
                    <w:rPr>
                      <w:rFonts w:ascii="Cambria Math" w:hAnsi="Cambria Math"/>
                      <w:sz w:val="24"/>
                    </w:rPr>
                    <m:t>C</m:t>
                  </m:r>
                </m:e>
                <m:sub>
                  <m:r>
                    <m:rPr>
                      <m:sty m:val="bi"/>
                    </m:rPr>
                    <w:rPr>
                      <w:rFonts w:ascii="Cambria Math" w:hAnsi="Cambria Math"/>
                      <w:sz w:val="24"/>
                    </w:rPr>
                    <m:t>i</m:t>
                  </m:r>
                </m:sub>
              </m:sSub>
              <m:sSubSup>
                <m:sSubSupPr>
                  <m:ctrlPr>
                    <w:rPr>
                      <w:rFonts w:ascii="Cambria Math" w:eastAsiaTheme="minorHAnsi" w:hAnsi="Cambria Math"/>
                      <w:i/>
                      <w:sz w:val="24"/>
                      <w:lang w:val="en-GB" w:eastAsia="en-US"/>
                      <w14:ligatures w14:val="standardContextual"/>
                    </w:rPr>
                  </m:ctrlPr>
                </m:sSubSupPr>
                <m:e>
                  <m:r>
                    <m:rPr>
                      <m:sty m:val="bi"/>
                    </m:rPr>
                    <w:rPr>
                      <w:rFonts w:ascii="Cambria Math" w:hAnsi="Cambria Math"/>
                      <w:sz w:val="24"/>
                    </w:rPr>
                    <m:t>Z</m:t>
                  </m:r>
                </m:e>
                <m:sub>
                  <m:r>
                    <m:rPr>
                      <m:sty m:val="bi"/>
                    </m:rPr>
                    <w:rPr>
                      <w:rFonts w:ascii="Cambria Math" w:hAnsi="Cambria Math"/>
                      <w:sz w:val="24"/>
                    </w:rPr>
                    <m:t>i</m:t>
                  </m:r>
                </m:sub>
                <m:sup>
                  <m:r>
                    <m:rPr>
                      <m:sty m:val="bi"/>
                    </m:rPr>
                    <w:rPr>
                      <w:rFonts w:ascii="Cambria Math" w:hAnsi="Cambria Math"/>
                      <w:sz w:val="24"/>
                    </w:rPr>
                    <m:t>2</m:t>
                  </m:r>
                </m:sup>
              </m:sSubSup>
            </m:e>
          </m:nary>
        </m:oMath>
      </m:oMathPara>
    </w:p>
    <w:p w14:paraId="567A927F"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where </w:t>
      </w:r>
      <w:r w:rsidRPr="000723C2">
        <w:rPr>
          <w:rFonts w:ascii="Times New Roman" w:hAnsi="Times New Roman"/>
          <w:bCs/>
          <w:i/>
          <w:iCs/>
          <w:sz w:val="24"/>
          <w:lang w:val="en-GB"/>
        </w:rPr>
        <w:t>C</w:t>
      </w:r>
      <w:r w:rsidRPr="000723C2">
        <w:rPr>
          <w:rFonts w:ascii="Times New Roman" w:hAnsi="Times New Roman"/>
          <w:bCs/>
          <w:i/>
          <w:iCs/>
          <w:sz w:val="24"/>
          <w:vertAlign w:val="subscript"/>
          <w:lang w:val="en-GB"/>
        </w:rPr>
        <w:t>i</w:t>
      </w:r>
      <w:r w:rsidRPr="000723C2">
        <w:rPr>
          <w:rFonts w:ascii="Times New Roman" w:hAnsi="Times New Roman"/>
          <w:bCs/>
          <w:sz w:val="24"/>
          <w:lang w:val="en-GB"/>
        </w:rPr>
        <w:t xml:space="preserve"> ​ is molar concentration of ion i, and </w:t>
      </w:r>
      <w:r w:rsidRPr="000723C2">
        <w:rPr>
          <w:rFonts w:ascii="Times New Roman" w:hAnsi="Times New Roman"/>
          <w:bCs/>
          <w:i/>
          <w:iCs/>
          <w:sz w:val="24"/>
          <w:lang w:val="en-GB"/>
        </w:rPr>
        <w:t>Z</w:t>
      </w:r>
      <w:r w:rsidRPr="000723C2">
        <w:rPr>
          <w:rFonts w:ascii="Times New Roman" w:hAnsi="Times New Roman"/>
          <w:bCs/>
          <w:i/>
          <w:iCs/>
          <w:sz w:val="24"/>
          <w:vertAlign w:val="subscript"/>
          <w:lang w:val="en-GB"/>
        </w:rPr>
        <w:t>i</w:t>
      </w:r>
      <w:r w:rsidRPr="000723C2">
        <w:rPr>
          <w:rFonts w:ascii="Times New Roman" w:hAnsi="Times New Roman"/>
          <w:bCs/>
          <w:sz w:val="24"/>
          <w:lang w:val="en-GB"/>
        </w:rPr>
        <w:t xml:space="preserve"> its valence.</w:t>
      </w:r>
    </w:p>
    <w:p w14:paraId="3752F09F"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Increasing </w:t>
      </w:r>
      <w:r w:rsidRPr="000723C2">
        <w:rPr>
          <w:rFonts w:ascii="Times New Roman" w:hAnsi="Times New Roman"/>
          <w:bCs/>
          <w:i/>
          <w:iCs/>
          <w:sz w:val="24"/>
          <w:lang w:val="en-GB"/>
        </w:rPr>
        <w:t>I</w:t>
      </w:r>
      <w:r w:rsidRPr="000723C2">
        <w:rPr>
          <w:rFonts w:ascii="Times New Roman" w:hAnsi="Times New Roman"/>
          <w:bCs/>
          <w:sz w:val="24"/>
          <w:lang w:val="en-GB"/>
        </w:rPr>
        <w:t xml:space="preserve"> from 10</w:t>
      </w:r>
      <w:r w:rsidRPr="000723C2">
        <w:rPr>
          <w:rFonts w:ascii="Times New Roman" w:hAnsi="Times New Roman"/>
          <w:bCs/>
          <w:sz w:val="24"/>
          <w:vertAlign w:val="superscript"/>
          <w:lang w:val="en-GB"/>
        </w:rPr>
        <w:t>-5</w:t>
      </w:r>
      <w:r w:rsidRPr="000723C2">
        <w:rPr>
          <w:rFonts w:ascii="Times New Roman" w:hAnsi="Times New Roman"/>
          <w:bCs/>
          <w:sz w:val="24"/>
          <w:lang w:val="en-GB"/>
        </w:rPr>
        <w:t xml:space="preserve"> M to 1 M reduces </w:t>
      </w:r>
      <w:r w:rsidRPr="000723C2">
        <w:rPr>
          <w:rFonts w:ascii="Times New Roman" w:hAnsi="Times New Roman"/>
          <w:bCs/>
          <w:i/>
          <w:iCs/>
          <w:sz w:val="24"/>
        </w:rPr>
        <w:t>λ</w:t>
      </w:r>
      <w:r w:rsidRPr="000723C2">
        <w:rPr>
          <w:rFonts w:ascii="Times New Roman" w:hAnsi="Times New Roman"/>
          <w:bCs/>
          <w:i/>
          <w:iCs/>
          <w:sz w:val="24"/>
          <w:vertAlign w:val="subscript"/>
          <w:lang w:val="en-GB"/>
        </w:rPr>
        <w:t>D</w:t>
      </w:r>
      <w:r w:rsidRPr="000723C2">
        <w:rPr>
          <w:rFonts w:ascii="Times New Roman" w:hAnsi="Times New Roman"/>
          <w:bCs/>
          <w:sz w:val="24"/>
          <w:lang w:val="en-GB"/>
        </w:rPr>
        <w:t xml:space="preserve"> from ~100 nm to ~0.3 nm, explaining the improved charge screening and lowered impedance. Capacitance estimates from the Z′–C′ plots confirm this: PPEs reach ~3×10</w:t>
      </w:r>
      <w:r w:rsidRPr="000723C2">
        <w:rPr>
          <w:rFonts w:ascii="Times New Roman" w:hAnsi="Times New Roman"/>
          <w:bCs/>
          <w:sz w:val="24"/>
          <w:vertAlign w:val="superscript"/>
          <w:lang w:val="en-GB"/>
        </w:rPr>
        <w:t>-9</w:t>
      </w:r>
      <w:r w:rsidRPr="000723C2">
        <w:rPr>
          <w:rFonts w:ascii="Times New Roman" w:hAnsi="Times New Roman"/>
          <w:bCs/>
          <w:sz w:val="24"/>
          <w:lang w:val="en-GB"/>
        </w:rPr>
        <w:t xml:space="preserve"> F at 1 M KCl, compared to ~2×10</w:t>
      </w:r>
      <w:r w:rsidRPr="000723C2">
        <w:rPr>
          <w:rFonts w:ascii="Times New Roman" w:hAnsi="Times New Roman"/>
          <w:bCs/>
          <w:sz w:val="24"/>
          <w:vertAlign w:val="superscript"/>
          <w:lang w:val="en-GB"/>
        </w:rPr>
        <w:t>-10</w:t>
      </w:r>
      <w:r w:rsidRPr="000723C2">
        <w:rPr>
          <w:rFonts w:ascii="Times New Roman" w:hAnsi="Times New Roman"/>
          <w:bCs/>
          <w:sz w:val="24"/>
          <w:lang w:val="en-GB"/>
        </w:rPr>
        <w:t xml:space="preserve"> F for 2D IDEs under the same conditions.</w:t>
      </w:r>
    </w:p>
    <w:p w14:paraId="24BB0B63"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Dielectric dependence (ethanol–water mixtures, Fig. S7).</w:t>
      </w:r>
    </w:p>
    <w:p w14:paraId="36B0940E"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At fixed ionic content, decreasing the solvent dielectric constant from </w:t>
      </w:r>
      <w:r w:rsidRPr="000723C2">
        <w:rPr>
          <w:rFonts w:ascii="Times New Roman" w:hAnsi="Times New Roman"/>
          <w:bCs/>
          <w:sz w:val="24"/>
        </w:rPr>
        <w:t>ε</w:t>
      </w:r>
      <w:r w:rsidRPr="000723C2">
        <w:rPr>
          <w:rFonts w:ascii="Times New Roman" w:hAnsi="Times New Roman"/>
          <w:bCs/>
          <w:sz w:val="24"/>
          <w:lang w:val="en-GB"/>
        </w:rPr>
        <w:t xml:space="preserve"> ≈ 80 (pure water) to </w:t>
      </w:r>
      <w:r w:rsidRPr="000723C2">
        <w:rPr>
          <w:rFonts w:ascii="Times New Roman" w:hAnsi="Times New Roman"/>
          <w:bCs/>
          <w:i/>
          <w:iCs/>
          <w:sz w:val="24"/>
        </w:rPr>
        <w:t>ε</w:t>
      </w:r>
      <w:r w:rsidRPr="000723C2">
        <w:rPr>
          <w:rFonts w:ascii="Times New Roman" w:hAnsi="Times New Roman"/>
          <w:bCs/>
          <w:sz w:val="24"/>
          <w:lang w:val="en-GB"/>
        </w:rPr>
        <w:t xml:space="preserve"> ≈ 25 (pure ethanol) systematically increased impedance. For PPEs, |Z| at 100 Hz rose from ~1×10</w:t>
      </w:r>
      <w:r w:rsidRPr="000723C2">
        <w:rPr>
          <w:rFonts w:ascii="Times New Roman" w:hAnsi="Times New Roman"/>
          <w:bCs/>
          <w:sz w:val="24"/>
          <w:vertAlign w:val="superscript"/>
          <w:lang w:val="en-GB"/>
        </w:rPr>
        <w:t xml:space="preserve">4 </w:t>
      </w:r>
      <w:r w:rsidRPr="000723C2">
        <w:rPr>
          <w:rFonts w:ascii="Times New Roman" w:hAnsi="Times New Roman"/>
          <w:bCs/>
          <w:sz w:val="24"/>
        </w:rPr>
        <w:t>Ω</w:t>
      </w:r>
      <w:r w:rsidRPr="000723C2">
        <w:rPr>
          <w:rFonts w:ascii="Times New Roman" w:hAnsi="Times New Roman"/>
          <w:bCs/>
          <w:sz w:val="24"/>
          <w:lang w:val="en-GB"/>
        </w:rPr>
        <w:t xml:space="preserve"> (water) to ~1×10</w:t>
      </w:r>
      <w:r w:rsidRPr="000723C2">
        <w:rPr>
          <w:rFonts w:ascii="Times New Roman" w:hAnsi="Times New Roman"/>
          <w:bCs/>
          <w:sz w:val="24"/>
          <w:vertAlign w:val="superscript"/>
          <w:lang w:val="en-GB"/>
        </w:rPr>
        <w:t>7</w:t>
      </w:r>
      <w:r w:rsidRPr="000723C2">
        <w:rPr>
          <w:rFonts w:ascii="Times New Roman" w:hAnsi="Times New Roman"/>
          <w:bCs/>
          <w:sz w:val="24"/>
          <w:lang w:val="en-GB"/>
        </w:rPr>
        <w:t xml:space="preserve"> </w:t>
      </w:r>
      <w:r w:rsidRPr="000723C2">
        <w:rPr>
          <w:rFonts w:ascii="Times New Roman" w:hAnsi="Times New Roman"/>
          <w:bCs/>
          <w:sz w:val="24"/>
        </w:rPr>
        <w:t>Ω</w:t>
      </w:r>
      <w:r w:rsidRPr="000723C2">
        <w:rPr>
          <w:rFonts w:ascii="Times New Roman" w:hAnsi="Times New Roman"/>
          <w:bCs/>
          <w:sz w:val="24"/>
          <w:lang w:val="en-GB"/>
        </w:rPr>
        <w:t xml:space="preserve"> (ethanol), i.e. a three-order-of-magnitude shift.</w:t>
      </w:r>
    </w:p>
    <w:p w14:paraId="611C37A6"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The capacitance followed the expected scaling:</w:t>
      </w:r>
    </w:p>
    <w:p w14:paraId="128FBD3D" w14:textId="77777777" w:rsidR="0017170C" w:rsidRPr="000723C2" w:rsidRDefault="0017170C" w:rsidP="00AA0092">
      <w:pPr>
        <w:spacing w:before="240" w:after="240"/>
        <w:rPr>
          <w:rFonts w:ascii="Times New Roman" w:hAnsi="Times New Roman"/>
          <w:sz w:val="24"/>
        </w:rPr>
      </w:pPr>
      <m:oMathPara>
        <m:oMath>
          <m:r>
            <m:rPr>
              <m:sty m:val="bi"/>
            </m:rPr>
            <w:rPr>
              <w:rFonts w:ascii="Cambria Math" w:hAnsi="Cambria Math"/>
              <w:sz w:val="24"/>
            </w:rPr>
            <m:t>C~</m:t>
          </m:r>
          <m:f>
            <m:fPr>
              <m:ctrlPr>
                <w:rPr>
                  <w:rFonts w:ascii="Cambria Math" w:eastAsiaTheme="minorHAnsi" w:hAnsi="Cambria Math"/>
                  <w:i/>
                  <w:sz w:val="24"/>
                  <w:lang w:val="en-GB" w:eastAsia="en-US"/>
                  <w14:ligatures w14:val="standardContextual"/>
                </w:rPr>
              </m:ctrlPr>
            </m:fPr>
            <m:num>
              <m:r>
                <m:rPr>
                  <m:sty m:val="bi"/>
                </m:rPr>
                <w:rPr>
                  <w:rFonts w:ascii="Cambria Math" w:hAnsi="Cambria Math"/>
                  <w:sz w:val="24"/>
                </w:rPr>
                <m:t>ε</m:t>
              </m:r>
            </m:num>
            <m:den>
              <m:sSub>
                <m:sSubPr>
                  <m:ctrlPr>
                    <w:rPr>
                      <w:rFonts w:ascii="Cambria Math" w:eastAsiaTheme="minorHAnsi" w:hAnsi="Cambria Math"/>
                      <w:i/>
                      <w:sz w:val="24"/>
                      <w:lang w:val="en-GB" w:eastAsia="en-US"/>
                      <w14:ligatures w14:val="standardContextual"/>
                    </w:rPr>
                  </m:ctrlPr>
                </m:sSubPr>
                <m:e>
                  <m:r>
                    <m:rPr>
                      <m:sty m:val="bi"/>
                    </m:rPr>
                    <w:rPr>
                      <w:rFonts w:ascii="Cambria Math" w:hAnsi="Cambria Math"/>
                      <w:sz w:val="24"/>
                    </w:rPr>
                    <m:t>λ</m:t>
                  </m:r>
                </m:e>
                <m:sub>
                  <m:r>
                    <m:rPr>
                      <m:sty m:val="bi"/>
                    </m:rPr>
                    <w:rPr>
                      <w:rFonts w:ascii="Cambria Math" w:hAnsi="Cambria Math"/>
                      <w:sz w:val="24"/>
                    </w:rPr>
                    <m:t>D</m:t>
                  </m:r>
                </m:sub>
              </m:sSub>
            </m:den>
          </m:f>
        </m:oMath>
      </m:oMathPara>
    </w:p>
    <w:p w14:paraId="2F5B9026"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where </w:t>
      </w:r>
      <w:r w:rsidRPr="000723C2">
        <w:rPr>
          <w:rFonts w:ascii="Times New Roman" w:hAnsi="Times New Roman"/>
          <w:bCs/>
          <w:i/>
          <w:iCs/>
          <w:sz w:val="24"/>
        </w:rPr>
        <w:t>λ</w:t>
      </w:r>
      <w:r w:rsidRPr="000723C2">
        <w:rPr>
          <w:rFonts w:ascii="Times New Roman" w:hAnsi="Times New Roman"/>
          <w:bCs/>
          <w:i/>
          <w:iCs/>
          <w:sz w:val="24"/>
          <w:vertAlign w:val="subscript"/>
          <w:lang w:val="en-GB"/>
        </w:rPr>
        <w:t xml:space="preserve">D </w:t>
      </w:r>
      <w:r w:rsidRPr="000723C2">
        <w:rPr>
          <w:rFonts w:ascii="Times New Roman" w:hAnsi="Times New Roman"/>
          <w:bCs/>
          <w:sz w:val="24"/>
          <w:lang w:val="en-GB"/>
        </w:rPr>
        <w:t xml:space="preserve">remains constant at fixed ionic concentration. This results in a direct proportionality of capacitance with </w:t>
      </w:r>
      <w:r w:rsidRPr="000723C2">
        <w:rPr>
          <w:rFonts w:ascii="Times New Roman" w:hAnsi="Times New Roman"/>
          <w:bCs/>
          <w:sz w:val="24"/>
        </w:rPr>
        <w:t>ε</w:t>
      </w:r>
      <w:r w:rsidRPr="000723C2">
        <w:rPr>
          <w:rFonts w:ascii="Times New Roman" w:hAnsi="Times New Roman"/>
          <w:bCs/>
          <w:sz w:val="24"/>
          <w:lang w:val="en-GB"/>
        </w:rPr>
        <w:t>. Experimentally, PPE capacitance decreased from ~2×10</w:t>
      </w:r>
      <w:r w:rsidRPr="000723C2">
        <w:rPr>
          <w:rFonts w:ascii="Times New Roman" w:hAnsi="Times New Roman"/>
          <w:bCs/>
          <w:sz w:val="24"/>
          <w:vertAlign w:val="superscript"/>
          <w:lang w:val="en-GB"/>
        </w:rPr>
        <w:t>-9</w:t>
      </w:r>
      <w:r w:rsidRPr="000723C2">
        <w:rPr>
          <w:rFonts w:ascii="Times New Roman" w:hAnsi="Times New Roman"/>
          <w:bCs/>
          <w:sz w:val="24"/>
          <w:lang w:val="en-GB"/>
        </w:rPr>
        <w:t xml:space="preserve"> F (water) to ~7×10</w:t>
      </w:r>
      <w:r w:rsidRPr="000723C2">
        <w:rPr>
          <w:rFonts w:ascii="Times New Roman" w:hAnsi="Times New Roman"/>
          <w:bCs/>
          <w:sz w:val="24"/>
          <w:vertAlign w:val="superscript"/>
          <w:lang w:val="en-GB"/>
        </w:rPr>
        <w:t>-11</w:t>
      </w:r>
      <w:r w:rsidRPr="000723C2">
        <w:rPr>
          <w:rFonts w:ascii="Times New Roman" w:hAnsi="Times New Roman"/>
          <w:bCs/>
          <w:sz w:val="24"/>
          <w:lang w:val="en-GB"/>
        </w:rPr>
        <w:t xml:space="preserve"> F (ethanol).</w:t>
      </w:r>
    </w:p>
    <w:p w14:paraId="66B5C41D"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lastRenderedPageBreak/>
        <w:t>2D IDEs displayed smaller changes (~1×10</w:t>
      </w:r>
      <w:r w:rsidRPr="000723C2">
        <w:rPr>
          <w:rFonts w:ascii="Times New Roman" w:hAnsi="Times New Roman"/>
          <w:bCs/>
          <w:sz w:val="24"/>
          <w:vertAlign w:val="superscript"/>
          <w:lang w:val="en-GB"/>
        </w:rPr>
        <w:t>-10</w:t>
      </w:r>
      <w:r w:rsidRPr="000723C2">
        <w:rPr>
          <w:rFonts w:ascii="Times New Roman" w:hAnsi="Times New Roman"/>
          <w:bCs/>
          <w:sz w:val="24"/>
          <w:lang w:val="en-GB"/>
        </w:rPr>
        <w:t xml:space="preserve"> F to ~5×10</w:t>
      </w:r>
      <w:r w:rsidRPr="000723C2">
        <w:rPr>
          <w:rFonts w:ascii="Times New Roman" w:hAnsi="Times New Roman"/>
          <w:bCs/>
          <w:sz w:val="24"/>
          <w:vertAlign w:val="superscript"/>
          <w:lang w:val="en-GB"/>
        </w:rPr>
        <w:t>-11</w:t>
      </w:r>
      <w:r w:rsidRPr="000723C2">
        <w:rPr>
          <w:rFonts w:ascii="Times New Roman" w:hAnsi="Times New Roman"/>
          <w:bCs/>
          <w:sz w:val="24"/>
          <w:lang w:val="en-GB"/>
        </w:rPr>
        <w:t xml:space="preserve"> F) because of their strongly localized field lines, while 3D IDEs showed intermediate sensitivity.</w:t>
      </w:r>
    </w:p>
    <w:p w14:paraId="1483F0C2" w14:textId="77777777" w:rsidR="0017170C" w:rsidRPr="000723C2" w:rsidRDefault="0017170C" w:rsidP="00AA0092">
      <w:pPr>
        <w:spacing w:before="240" w:after="240"/>
        <w:rPr>
          <w:rFonts w:ascii="Times New Roman" w:eastAsia="MS Mincho" w:hAnsi="Times New Roman"/>
          <w:b/>
          <w:sz w:val="24"/>
          <w:lang w:eastAsia="ja-JP"/>
        </w:rPr>
      </w:pPr>
      <w:r w:rsidRPr="000723C2">
        <w:rPr>
          <w:rFonts w:ascii="Times New Roman" w:eastAsia="MS Mincho" w:hAnsi="Times New Roman"/>
          <w:b/>
          <w:sz w:val="24"/>
          <w:lang w:eastAsia="ja-JP"/>
        </w:rPr>
        <w:t>Extended data for Fig. S8</w:t>
      </w:r>
    </w:p>
    <w:p w14:paraId="24B80E28"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Proton exchange in alkali-treated polyimide membranes</w:t>
      </w:r>
    </w:p>
    <w:p w14:paraId="4403D98A"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The alkali (NaOH) treatment of PI PEM partially hydrolyzes the imide rings of polyimide (PI) into their open-chain poly(amic acid) form. This transformation introduces carboxylate (–COO⁻) and amide (–CONH–) groups that enhance ionic transport and water affinity, beneficial for proton conduction. The reaction proceeds via nucleophilic attack of hydroxide ions on the imide carbonyl carbon, followed by ring-opening to yield amic acid intermediates.</w:t>
      </w:r>
    </w:p>
    <w:p w14:paraId="1750DADD"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In the FTIR spectra (Fig. S9a), pristine PI shows characteristic imide peaks at:</w:t>
      </w:r>
    </w:p>
    <w:p w14:paraId="13E90317" w14:textId="77777777" w:rsidR="0017170C" w:rsidRPr="000723C2" w:rsidRDefault="0017170C" w:rsidP="00AA0092">
      <w:pPr>
        <w:spacing w:before="240" w:after="240"/>
        <w:rPr>
          <w:rFonts w:ascii="Times New Roman" w:hAnsi="Times New Roman"/>
          <w:b/>
          <w:bCs/>
          <w:sz w:val="24"/>
          <w:lang w:val="it-IT"/>
        </w:rPr>
      </w:pPr>
      <w:r w:rsidRPr="000723C2">
        <w:rPr>
          <w:rFonts w:ascii="Times New Roman" w:hAnsi="Times New Roman"/>
          <w:bCs/>
          <w:sz w:val="24"/>
          <w:lang w:val="it-IT"/>
        </w:rPr>
        <w:t>1775 cm⁻¹ (C=O asymmetric stretch)</w:t>
      </w:r>
    </w:p>
    <w:p w14:paraId="6D2842AC" w14:textId="77777777" w:rsidR="0017170C" w:rsidRPr="000723C2" w:rsidRDefault="0017170C" w:rsidP="00AA0092">
      <w:pPr>
        <w:spacing w:before="240" w:after="240"/>
        <w:rPr>
          <w:rFonts w:ascii="Times New Roman" w:hAnsi="Times New Roman"/>
          <w:b/>
          <w:bCs/>
          <w:sz w:val="24"/>
          <w:lang w:val="it-IT"/>
        </w:rPr>
      </w:pPr>
      <w:r w:rsidRPr="000723C2">
        <w:rPr>
          <w:rFonts w:ascii="Times New Roman" w:hAnsi="Times New Roman"/>
          <w:bCs/>
          <w:sz w:val="24"/>
          <w:lang w:val="it-IT"/>
        </w:rPr>
        <w:t>1720 cm⁻¹ (C=O symmetric stretch)</w:t>
      </w:r>
    </w:p>
    <w:p w14:paraId="3C92BEF7"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1380 cm⁻¹ (C–N stretch)</w:t>
      </w:r>
    </w:p>
    <w:p w14:paraId="64B4D495"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720 cm⁻¹ (imide ring deformation)</w:t>
      </w:r>
    </w:p>
    <w:p w14:paraId="70C94A5F"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After NaOH exposure, new and shifted features appear:</w:t>
      </w:r>
    </w:p>
    <w:p w14:paraId="5D299518"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Broad O–H/N–H stretching (3200–3600 cm⁻¹): from hydroxyl and amide groups in poly(amic acid).</w:t>
      </w:r>
    </w:p>
    <w:p w14:paraId="1F4995F5"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Weakened imide C=O peaks (1775 and 1720 cm⁻¹): indicating ring cleavage.</w:t>
      </w:r>
    </w:p>
    <w:p w14:paraId="650AA27B"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New amide C=O band (~1650 cm⁻¹): characteristic of amic acid formation.</w:t>
      </w:r>
    </w:p>
    <w:p w14:paraId="640837A7"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New COO⁻ symmetric stretching (~1420 cm⁻¹): confirming partial conversion to carboxylate.</w:t>
      </w:r>
    </w:p>
    <w:p w14:paraId="3B3F3B41"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The improvement in ionic transport after alkali treatment is consistent with hydrolysis of imide groups in PI:</w:t>
      </w:r>
    </w:p>
    <w:p w14:paraId="03D0F167" w14:textId="77777777" w:rsidR="0017170C" w:rsidRPr="000723C2" w:rsidRDefault="0017170C" w:rsidP="00AA0092">
      <w:pPr>
        <w:tabs>
          <w:tab w:val="left" w:pos="3150"/>
        </w:tabs>
        <w:spacing w:before="240" w:after="240"/>
        <w:jc w:val="center"/>
        <w:rPr>
          <w:rFonts w:ascii="Times New Roman" w:hAnsi="Times New Roman"/>
          <w:b/>
          <w:bCs/>
          <w:sz w:val="24"/>
          <w:lang w:val="en-GB"/>
        </w:rPr>
      </w:pPr>
      <w:r w:rsidRPr="000723C2">
        <w:rPr>
          <w:rFonts w:ascii="Times New Roman" w:hAnsi="Times New Roman"/>
          <w:bCs/>
          <w:sz w:val="24"/>
          <w:lang w:val="en-GB"/>
        </w:rPr>
        <w:t>–CO–NH–CO–    →    –COOH + –CONH– or  –COO</w:t>
      </w:r>
      <w:r w:rsidRPr="000723C2">
        <w:rPr>
          <w:rFonts w:ascii="Times New Roman" w:hAnsi="Times New Roman"/>
          <w:bCs/>
          <w:sz w:val="24"/>
          <w:vertAlign w:val="superscript"/>
          <w:lang w:val="en-GB"/>
        </w:rPr>
        <w:t>-</w:t>
      </w:r>
      <w:r w:rsidRPr="000723C2">
        <w:rPr>
          <w:rFonts w:ascii="Times New Roman" w:hAnsi="Times New Roman"/>
          <w:bCs/>
          <w:sz w:val="24"/>
          <w:lang w:val="en-GB"/>
        </w:rPr>
        <w:t>NA</w:t>
      </w:r>
      <w:r w:rsidRPr="000723C2">
        <w:rPr>
          <w:rFonts w:ascii="Times New Roman" w:hAnsi="Times New Roman"/>
          <w:bCs/>
          <w:sz w:val="24"/>
          <w:vertAlign w:val="superscript"/>
          <w:lang w:val="en-GB"/>
        </w:rPr>
        <w:t>+</w:t>
      </w:r>
      <w:r w:rsidRPr="000723C2">
        <w:rPr>
          <w:rFonts w:ascii="Times New Roman" w:hAnsi="Times New Roman"/>
          <w:bCs/>
          <w:sz w:val="24"/>
          <w:lang w:val="en-GB"/>
        </w:rPr>
        <w:t xml:space="preserve"> .</w:t>
      </w:r>
    </w:p>
    <w:p w14:paraId="01C9A628" w14:textId="77777777" w:rsidR="0017170C" w:rsidRPr="000723C2" w:rsidRDefault="0017170C" w:rsidP="00AA0092">
      <w:pPr>
        <w:spacing w:before="240" w:after="240"/>
        <w:rPr>
          <w:rFonts w:ascii="Times New Roman" w:hAnsi="Times New Roman"/>
          <w:b/>
          <w:bCs/>
          <w:sz w:val="24"/>
          <w:lang w:val="en-GB"/>
        </w:rPr>
      </w:pPr>
    </w:p>
    <w:p w14:paraId="2FF806AD"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The repeat unit of the PI contains two imide linkages per monomer, which are the primary sites for hydroxide attack. Controlled NaOH hydrolysis converts a fraction of imide rings into poly(amic)-like structures bearing amide and carboxylate/carboxylic groups. In FTIR this is manifested by a reduced and broadened imide C=O envelope (~1775 and 1720 cm⁻¹), a shoulder/increase around ~1650 cm⁻¹ (amide C=O / amic acid), increased O–H/N–H absorption (~3400 cm⁻¹), and modest growth near 1420 cm⁻¹ (COO⁻ symmetric). Excessive hydrolysis produces a high density of hydrophilic groups, causing strong swelling, gelation and partial dissolution in aqueous media, a condition we avoid by selecting an intermediate target resistance (~250 Ω at 10³ Hz).</w:t>
      </w:r>
    </w:p>
    <w:p w14:paraId="5924F2E4"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Electrochemical impedance spectroscopy (EIS) was used to quantify membrane resistance as a function of alkali treatment time. The total impedance is represented as</w:t>
      </w:r>
    </w:p>
    <w:p w14:paraId="7986EFB7" w14:textId="77777777" w:rsidR="0017170C" w:rsidRPr="000723C2" w:rsidRDefault="0017170C" w:rsidP="00AA0092">
      <w:pPr>
        <w:spacing w:before="240" w:after="240"/>
        <w:rPr>
          <w:rFonts w:ascii="Times New Roman" w:hAnsi="Times New Roman"/>
          <w:b/>
          <w:bCs/>
          <w:sz w:val="24"/>
        </w:rPr>
      </w:pPr>
      <m:oMathPara>
        <m:oMath>
          <m:r>
            <m:rPr>
              <m:sty m:val="bi"/>
            </m:rPr>
            <w:rPr>
              <w:rFonts w:ascii="Cambria Math" w:hAnsi="Cambria Math"/>
              <w:sz w:val="24"/>
            </w:rPr>
            <w:lastRenderedPageBreak/>
            <m:t>Z</m:t>
          </m:r>
          <m:d>
            <m:dPr>
              <m:ctrlPr>
                <w:rPr>
                  <w:rFonts w:ascii="Cambria Math" w:hAnsi="Cambria Math"/>
                  <w:bCs/>
                  <w:i/>
                  <w:sz w:val="24"/>
                </w:rPr>
              </m:ctrlPr>
            </m:dPr>
            <m:e>
              <m:r>
                <m:rPr>
                  <m:sty m:val="bi"/>
                </m:rPr>
                <w:rPr>
                  <w:rFonts w:ascii="Cambria Math" w:hAnsi="Cambria Math"/>
                  <w:sz w:val="24"/>
                </w:rPr>
                <m:t>ω</m:t>
              </m:r>
            </m:e>
          </m:d>
          <m:r>
            <m:rPr>
              <m:sty m:val="bi"/>
            </m:rPr>
            <w:rPr>
              <w:rFonts w:ascii="Cambria Math" w:hAnsi="Cambria Math"/>
              <w:sz w:val="24"/>
            </w:rPr>
            <m:t>≈</m:t>
          </m:r>
          <m:sSup>
            <m:sSupPr>
              <m:ctrlPr>
                <w:rPr>
                  <w:rFonts w:ascii="Cambria Math" w:hAnsi="Cambria Math"/>
                  <w:bCs/>
                  <w:i/>
                  <w:sz w:val="24"/>
                </w:rPr>
              </m:ctrlPr>
            </m:sSupPr>
            <m:e>
              <m:r>
                <m:rPr>
                  <m:sty m:val="bi"/>
                </m:rPr>
                <w:rPr>
                  <w:rFonts w:ascii="Cambria Math" w:hAnsi="Cambria Math"/>
                  <w:sz w:val="24"/>
                </w:rPr>
                <m:t>Z</m:t>
              </m:r>
            </m:e>
            <m:sup>
              <m:r>
                <m:rPr>
                  <m:sty m:val="bi"/>
                </m:rPr>
                <w:rPr>
                  <w:rFonts w:ascii="Cambria Math" w:hAnsi="Cambria Math"/>
                  <w:sz w:val="24"/>
                </w:rPr>
                <m:t>'</m:t>
              </m:r>
            </m:sup>
          </m:sSup>
          <m:d>
            <m:dPr>
              <m:ctrlPr>
                <w:rPr>
                  <w:rFonts w:ascii="Cambria Math" w:hAnsi="Cambria Math"/>
                  <w:bCs/>
                  <w:i/>
                  <w:sz w:val="24"/>
                </w:rPr>
              </m:ctrlPr>
            </m:dPr>
            <m:e>
              <m:r>
                <m:rPr>
                  <m:sty m:val="bi"/>
                </m:rPr>
                <w:rPr>
                  <w:rFonts w:ascii="Cambria Math" w:hAnsi="Cambria Math"/>
                  <w:sz w:val="24"/>
                </w:rPr>
                <m:t>ω</m:t>
              </m:r>
            </m:e>
          </m:d>
          <m:r>
            <m:rPr>
              <m:sty m:val="bi"/>
            </m:rPr>
            <w:rPr>
              <w:rFonts w:ascii="Cambria Math" w:hAnsi="Cambria Math"/>
              <w:sz w:val="24"/>
            </w:rPr>
            <m:t>+j</m:t>
          </m:r>
          <m:sSup>
            <m:sSupPr>
              <m:ctrlPr>
                <w:rPr>
                  <w:rFonts w:ascii="Cambria Math" w:hAnsi="Cambria Math"/>
                  <w:bCs/>
                  <w:i/>
                  <w:sz w:val="24"/>
                </w:rPr>
              </m:ctrlPr>
            </m:sSupPr>
            <m:e>
              <m:r>
                <m:rPr>
                  <m:sty m:val="bi"/>
                </m:rPr>
                <w:rPr>
                  <w:rFonts w:ascii="Cambria Math" w:hAnsi="Cambria Math"/>
                  <w:sz w:val="24"/>
                </w:rPr>
                <m:t>Z</m:t>
              </m:r>
            </m:e>
            <m:sup>
              <m:r>
                <m:rPr>
                  <m:sty m:val="bi"/>
                </m:rPr>
                <w:rPr>
                  <w:rFonts w:ascii="Cambria Math" w:hAnsi="Cambria Math"/>
                  <w:sz w:val="24"/>
                </w:rPr>
                <m:t>'</m:t>
              </m:r>
            </m:sup>
          </m:sSup>
          <m:r>
            <m:rPr>
              <m:sty m:val="bi"/>
            </m:rPr>
            <w:rPr>
              <w:rFonts w:ascii="Cambria Math" w:hAnsi="Cambria Math"/>
              <w:sz w:val="24"/>
            </w:rPr>
            <m:t>'</m:t>
          </m:r>
          <m:d>
            <m:dPr>
              <m:ctrlPr>
                <w:rPr>
                  <w:rFonts w:ascii="Cambria Math" w:hAnsi="Cambria Math"/>
                  <w:bCs/>
                  <w:i/>
                  <w:sz w:val="24"/>
                </w:rPr>
              </m:ctrlPr>
            </m:dPr>
            <m:e>
              <m:r>
                <m:rPr>
                  <m:sty m:val="bi"/>
                </m:rPr>
                <w:rPr>
                  <w:rFonts w:ascii="Cambria Math" w:hAnsi="Cambria Math"/>
                  <w:sz w:val="24"/>
                </w:rPr>
                <m:t>ω</m:t>
              </m:r>
            </m:e>
          </m:d>
        </m:oMath>
      </m:oMathPara>
    </w:p>
    <w:p w14:paraId="48A725FB"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where  </w:t>
      </w:r>
      <m:oMath>
        <m:sSup>
          <m:sSupPr>
            <m:ctrlPr>
              <w:rPr>
                <w:rFonts w:ascii="Cambria Math" w:hAnsi="Cambria Math"/>
                <w:bCs/>
                <w:i/>
                <w:sz w:val="24"/>
              </w:rPr>
            </m:ctrlPr>
          </m:sSupPr>
          <m:e>
            <m:r>
              <m:rPr>
                <m:sty m:val="bi"/>
              </m:rPr>
              <w:rPr>
                <w:rFonts w:ascii="Cambria Math" w:hAnsi="Cambria Math"/>
                <w:sz w:val="24"/>
              </w:rPr>
              <m:t>Z</m:t>
            </m:r>
          </m:e>
          <m:sup>
            <m:r>
              <m:rPr>
                <m:sty m:val="bi"/>
              </m:rPr>
              <w:rPr>
                <w:rFonts w:ascii="Cambria Math" w:hAnsi="Cambria Math"/>
                <w:sz w:val="24"/>
                <w:lang w:val="en-GB"/>
              </w:rPr>
              <m:t>'</m:t>
            </m:r>
          </m:sup>
        </m:sSup>
        <m:d>
          <m:dPr>
            <m:ctrlPr>
              <w:rPr>
                <w:rFonts w:ascii="Cambria Math" w:hAnsi="Cambria Math"/>
                <w:bCs/>
                <w:i/>
                <w:sz w:val="24"/>
              </w:rPr>
            </m:ctrlPr>
          </m:dPr>
          <m:e>
            <m:r>
              <m:rPr>
                <m:sty m:val="bi"/>
              </m:rPr>
              <w:rPr>
                <w:rFonts w:ascii="Cambria Math" w:hAnsi="Cambria Math"/>
                <w:sz w:val="24"/>
              </w:rPr>
              <m:t>ω</m:t>
            </m:r>
          </m:e>
        </m:d>
      </m:oMath>
      <w:r w:rsidRPr="000723C2">
        <w:rPr>
          <w:rFonts w:ascii="Times New Roman" w:hAnsi="Times New Roman"/>
          <w:bCs/>
          <w:sz w:val="24"/>
          <w:lang w:val="en-GB"/>
        </w:rPr>
        <w:t xml:space="preserve"> is the real component (resistive contribution) and </w:t>
      </w:r>
      <m:oMath>
        <m:sSup>
          <m:sSupPr>
            <m:ctrlPr>
              <w:rPr>
                <w:rFonts w:ascii="Cambria Math" w:hAnsi="Cambria Math"/>
                <w:bCs/>
                <w:i/>
                <w:sz w:val="24"/>
              </w:rPr>
            </m:ctrlPr>
          </m:sSupPr>
          <m:e>
            <m:r>
              <m:rPr>
                <m:sty m:val="bi"/>
              </m:rPr>
              <w:rPr>
                <w:rFonts w:ascii="Cambria Math" w:hAnsi="Cambria Math"/>
                <w:sz w:val="24"/>
              </w:rPr>
              <m:t>Z</m:t>
            </m:r>
          </m:e>
          <m:sup>
            <m:r>
              <m:rPr>
                <m:sty m:val="bi"/>
              </m:rPr>
              <w:rPr>
                <w:rFonts w:ascii="Cambria Math" w:hAnsi="Cambria Math"/>
                <w:sz w:val="24"/>
                <w:lang w:val="en-GB"/>
              </w:rPr>
              <m:t>'</m:t>
            </m:r>
          </m:sup>
        </m:sSup>
        <m:r>
          <m:rPr>
            <m:sty m:val="bi"/>
          </m:rPr>
          <w:rPr>
            <w:rFonts w:ascii="Cambria Math" w:hAnsi="Cambria Math"/>
            <w:sz w:val="24"/>
            <w:lang w:val="en-GB"/>
          </w:rPr>
          <m:t>'</m:t>
        </m:r>
        <m:d>
          <m:dPr>
            <m:ctrlPr>
              <w:rPr>
                <w:rFonts w:ascii="Cambria Math" w:hAnsi="Cambria Math"/>
                <w:bCs/>
                <w:i/>
                <w:sz w:val="24"/>
              </w:rPr>
            </m:ctrlPr>
          </m:dPr>
          <m:e>
            <m:r>
              <m:rPr>
                <m:sty m:val="bi"/>
              </m:rPr>
              <w:rPr>
                <w:rFonts w:ascii="Cambria Math" w:hAnsi="Cambria Math"/>
                <w:sz w:val="24"/>
              </w:rPr>
              <m:t>ω</m:t>
            </m:r>
          </m:e>
        </m:d>
      </m:oMath>
      <w:r w:rsidRPr="000723C2">
        <w:rPr>
          <w:rFonts w:ascii="Times New Roman" w:hAnsi="Times New Roman"/>
          <w:bCs/>
          <w:sz w:val="24"/>
          <w:lang w:val="en-GB"/>
        </w:rPr>
        <w:t xml:space="preserve"> is the imaginary component (capacitive contribution). For thin membranes, the dominant parameter is the real resistance at mid frequencies (10²–10⁴ Hz), where electrode polarization is negligible and bulk ionic conduction dominates.</w:t>
      </w:r>
    </w:p>
    <w:p w14:paraId="4F68FA9B"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The membrane resistance was extracted from the Bode plot at 10³ Hz,</w:t>
      </w:r>
    </w:p>
    <w:p w14:paraId="0962DFC8" w14:textId="77777777" w:rsidR="0017170C" w:rsidRPr="000723C2" w:rsidRDefault="000723C2" w:rsidP="00AA0092">
      <w:pPr>
        <w:spacing w:before="240" w:after="240"/>
        <w:rPr>
          <w:rFonts w:ascii="Times New Roman" w:hAnsi="Times New Roman"/>
          <w:b/>
          <w:bCs/>
          <w:sz w:val="24"/>
        </w:rPr>
      </w:pPr>
      <m:oMathPara>
        <m:oMath>
          <m:sSub>
            <m:sSubPr>
              <m:ctrlPr>
                <w:rPr>
                  <w:rFonts w:ascii="Cambria Math" w:eastAsiaTheme="minorHAnsi" w:hAnsi="Cambria Math"/>
                  <w:bCs/>
                  <w:i/>
                  <w:sz w:val="24"/>
                  <w:lang w:val="en-GB" w:eastAsia="en-US"/>
                  <w14:ligatures w14:val="standardContextual"/>
                </w:rPr>
              </m:ctrlPr>
            </m:sSubPr>
            <m:e>
              <m:r>
                <m:rPr>
                  <m:sty m:val="bi"/>
                </m:rPr>
                <w:rPr>
                  <w:rFonts w:ascii="Cambria Math" w:hAnsi="Cambria Math"/>
                  <w:sz w:val="24"/>
                </w:rPr>
                <m:t>R</m:t>
              </m:r>
            </m:e>
            <m:sub>
              <m:r>
                <m:rPr>
                  <m:sty m:val="bi"/>
                </m:rPr>
                <w:rPr>
                  <w:rFonts w:ascii="Cambria Math" w:hAnsi="Cambria Math"/>
                  <w:sz w:val="24"/>
                </w:rPr>
                <m:t>mem</m:t>
              </m:r>
            </m:sub>
          </m:sSub>
          <m:r>
            <m:rPr>
              <m:sty m:val="bi"/>
            </m:rPr>
            <w:rPr>
              <w:rFonts w:ascii="Cambria Math" w:hAnsi="Cambria Math"/>
              <w:sz w:val="24"/>
            </w:rPr>
            <m:t>≈Z'(ω=</m:t>
          </m:r>
          <m:sSup>
            <m:sSupPr>
              <m:ctrlPr>
                <w:rPr>
                  <w:rFonts w:ascii="Cambria Math" w:eastAsiaTheme="minorHAnsi" w:hAnsi="Cambria Math"/>
                  <w:bCs/>
                  <w:i/>
                  <w:sz w:val="24"/>
                  <w:lang w:val="en-GB" w:eastAsia="en-US"/>
                  <w14:ligatures w14:val="standardContextual"/>
                </w:rPr>
              </m:ctrlPr>
            </m:sSupPr>
            <m:e>
              <m:r>
                <m:rPr>
                  <m:sty m:val="bi"/>
                </m:rPr>
                <w:rPr>
                  <w:rFonts w:ascii="Cambria Math" w:hAnsi="Cambria Math"/>
                  <w:sz w:val="24"/>
                </w:rPr>
                <m:t>10</m:t>
              </m:r>
            </m:e>
            <m:sup>
              <m:r>
                <m:rPr>
                  <m:sty m:val="bi"/>
                </m:rPr>
                <w:rPr>
                  <w:rFonts w:ascii="Cambria Math" w:hAnsi="Cambria Math"/>
                  <w:sz w:val="24"/>
                </w:rPr>
                <m:t>3</m:t>
              </m:r>
            </m:sup>
          </m:sSup>
          <m:r>
            <m:rPr>
              <m:sty m:val="bi"/>
            </m:rPr>
            <w:rPr>
              <w:rFonts w:ascii="Cambria Math" w:hAnsi="Cambria Math"/>
              <w:sz w:val="24"/>
            </w:rPr>
            <m:t>Hz)</m:t>
          </m:r>
        </m:oMath>
      </m:oMathPara>
    </w:p>
    <w:p w14:paraId="312FBC78"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giving values of ~10⁶ </w:t>
      </w:r>
      <w:r w:rsidRPr="000723C2">
        <w:rPr>
          <w:rFonts w:ascii="Times New Roman" w:hAnsi="Times New Roman"/>
          <w:bCs/>
          <w:sz w:val="24"/>
        </w:rPr>
        <w:t>Ω</w:t>
      </w:r>
      <w:r w:rsidRPr="000723C2">
        <w:rPr>
          <w:rFonts w:ascii="Times New Roman" w:hAnsi="Times New Roman"/>
          <w:bCs/>
          <w:sz w:val="24"/>
          <w:lang w:val="en-GB"/>
        </w:rPr>
        <w:t xml:space="preserve"> for pristine PI, ~10⁵ </w:t>
      </w:r>
      <w:r w:rsidRPr="000723C2">
        <w:rPr>
          <w:rFonts w:ascii="Times New Roman" w:hAnsi="Times New Roman"/>
          <w:bCs/>
          <w:sz w:val="24"/>
        </w:rPr>
        <w:t>Ω</w:t>
      </w:r>
      <w:r w:rsidRPr="000723C2">
        <w:rPr>
          <w:rFonts w:ascii="Times New Roman" w:hAnsi="Times New Roman"/>
          <w:bCs/>
          <w:sz w:val="24"/>
          <w:lang w:val="en-GB"/>
        </w:rPr>
        <w:t xml:space="preserve"> after 10² min of NaOH treatment, and ~10³ </w:t>
      </w:r>
      <w:r w:rsidRPr="000723C2">
        <w:rPr>
          <w:rFonts w:ascii="Times New Roman" w:hAnsi="Times New Roman"/>
          <w:bCs/>
          <w:sz w:val="24"/>
        </w:rPr>
        <w:t>Ω</w:t>
      </w:r>
      <w:r w:rsidRPr="000723C2">
        <w:rPr>
          <w:rFonts w:ascii="Times New Roman" w:hAnsi="Times New Roman"/>
          <w:bCs/>
          <w:sz w:val="24"/>
          <w:lang w:val="en-GB"/>
        </w:rPr>
        <w:t xml:space="preserve"> after 10³ min (Fig. S9b). At very long treatment times (&gt;7.5 × 10³ min), </w:t>
      </w:r>
      <w:r w:rsidRPr="000723C2">
        <w:rPr>
          <w:rFonts w:ascii="Times New Roman" w:hAnsi="Times New Roman"/>
          <w:bCs/>
          <w:i/>
          <w:iCs/>
          <w:sz w:val="24"/>
          <w:lang w:val="en-GB"/>
        </w:rPr>
        <w:t>R</w:t>
      </w:r>
      <w:r w:rsidRPr="000723C2">
        <w:rPr>
          <w:rFonts w:ascii="Times New Roman" w:hAnsi="Times New Roman"/>
          <w:bCs/>
          <w:i/>
          <w:iCs/>
          <w:sz w:val="24"/>
          <w:vertAlign w:val="subscript"/>
          <w:lang w:val="en-GB"/>
        </w:rPr>
        <w:t>mem</w:t>
      </w:r>
      <w:r w:rsidRPr="000723C2">
        <w:rPr>
          <w:rFonts w:ascii="Times New Roman" w:hAnsi="Times New Roman"/>
          <w:bCs/>
          <w:i/>
          <w:iCs/>
          <w:sz w:val="24"/>
          <w:lang w:val="en-GB"/>
        </w:rPr>
        <w:t xml:space="preserve"> </w:t>
      </w:r>
      <w:r w:rsidRPr="000723C2">
        <w:rPr>
          <w:rFonts w:ascii="Times New Roman" w:hAnsi="Times New Roman"/>
          <w:bCs/>
          <w:sz w:val="24"/>
          <w:lang w:val="en-GB"/>
        </w:rPr>
        <w:t>increased again due to membrane fragilisation and partial loss of structural integrity.</w:t>
      </w:r>
    </w:p>
    <w:p w14:paraId="0F5E2602"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 xml:space="preserve">While Nafion™ 117 exhibited the lowest resistance (~10² </w:t>
      </w:r>
      <w:r w:rsidRPr="000723C2">
        <w:rPr>
          <w:rFonts w:ascii="Times New Roman" w:hAnsi="Times New Roman"/>
          <w:bCs/>
          <w:sz w:val="24"/>
        </w:rPr>
        <w:t>Ω</w:t>
      </w:r>
      <w:r w:rsidRPr="000723C2">
        <w:rPr>
          <w:rFonts w:ascii="Times New Roman" w:hAnsi="Times New Roman"/>
          <w:bCs/>
          <w:sz w:val="24"/>
          <w:lang w:val="en-GB"/>
        </w:rPr>
        <w:t>), treated PI reached comparable performance at optimal treatment times (10³–5x10</w:t>
      </w:r>
      <w:r w:rsidRPr="000723C2">
        <w:rPr>
          <w:rFonts w:ascii="Times New Roman" w:hAnsi="Times New Roman"/>
          <w:bCs/>
          <w:sz w:val="24"/>
          <w:vertAlign w:val="superscript"/>
          <w:lang w:val="en-GB"/>
        </w:rPr>
        <w:t>3</w:t>
      </w:r>
      <w:r w:rsidRPr="000723C2">
        <w:rPr>
          <w:rFonts w:ascii="Times New Roman" w:hAnsi="Times New Roman"/>
          <w:bCs/>
          <w:sz w:val="24"/>
          <w:lang w:val="en-GB"/>
        </w:rPr>
        <w:t xml:space="preserve"> min), with a significant mechanical advantage in multilayer coaxial integration. In contrast, Kapton™ remained insulating with </w:t>
      </w:r>
      <w:r w:rsidRPr="000723C2">
        <w:rPr>
          <w:rFonts w:ascii="Times New Roman" w:hAnsi="Times New Roman"/>
          <w:bCs/>
          <w:i/>
          <w:iCs/>
          <w:sz w:val="24"/>
          <w:lang w:val="en-GB"/>
        </w:rPr>
        <w:t>R</w:t>
      </w:r>
      <w:r w:rsidRPr="000723C2">
        <w:rPr>
          <w:rFonts w:ascii="Times New Roman" w:hAnsi="Times New Roman"/>
          <w:bCs/>
          <w:i/>
          <w:iCs/>
          <w:sz w:val="24"/>
          <w:vertAlign w:val="subscript"/>
          <w:lang w:val="en-GB"/>
        </w:rPr>
        <w:t>mem</w:t>
      </w:r>
      <w:r w:rsidRPr="000723C2">
        <w:rPr>
          <w:rFonts w:ascii="Times New Roman" w:hAnsi="Times New Roman"/>
          <w:bCs/>
          <w:sz w:val="24"/>
          <w:lang w:val="en-GB"/>
        </w:rPr>
        <w:t>&gt;10</w:t>
      </w:r>
      <w:r w:rsidRPr="000723C2">
        <w:rPr>
          <w:rFonts w:ascii="Times New Roman" w:hAnsi="Times New Roman"/>
          <w:bCs/>
          <w:sz w:val="24"/>
          <w:vertAlign w:val="superscript"/>
          <w:lang w:val="en-GB"/>
        </w:rPr>
        <w:t>7</w:t>
      </w:r>
      <w:r w:rsidRPr="000723C2">
        <w:rPr>
          <w:rFonts w:ascii="Times New Roman" w:hAnsi="Times New Roman"/>
          <w:bCs/>
          <w:sz w:val="24"/>
          <w:lang w:val="en-GB"/>
        </w:rPr>
        <w:t> </w:t>
      </w:r>
      <w:r w:rsidRPr="000723C2">
        <w:rPr>
          <w:rFonts w:ascii="Times New Roman" w:hAnsi="Times New Roman"/>
          <w:bCs/>
          <w:sz w:val="24"/>
        </w:rPr>
        <w:t>Ω</w:t>
      </w:r>
    </w:p>
    <w:p w14:paraId="29E4C91C" w14:textId="77777777" w:rsidR="0017170C" w:rsidRPr="000723C2" w:rsidRDefault="0017170C" w:rsidP="00AA0092">
      <w:pPr>
        <w:spacing w:before="240" w:after="240"/>
        <w:rPr>
          <w:rFonts w:ascii="Times New Roman" w:hAnsi="Times New Roman"/>
          <w:b/>
          <w:bCs/>
          <w:sz w:val="24"/>
          <w:lang w:val="en-GB"/>
        </w:rPr>
      </w:pPr>
      <w:r w:rsidRPr="000723C2">
        <w:rPr>
          <w:rFonts w:ascii="Times New Roman" w:hAnsi="Times New Roman"/>
          <w:bCs/>
          <w:sz w:val="24"/>
          <w:lang w:val="en-GB"/>
        </w:rPr>
        <w:t>Thus, alkali-treated PI provides a tunable balance between ionic conductivity and structural robustness, making it particularly suited for Swiss-roll µMFC architectures where membrane winding introduces regions of reduced effective thickness.</w:t>
      </w:r>
    </w:p>
    <w:p w14:paraId="26B30707" w14:textId="2A8EFACF" w:rsidR="00AA0092" w:rsidRPr="000723C2" w:rsidRDefault="00AA0092" w:rsidP="00AA0092">
      <w:pPr>
        <w:spacing w:before="240" w:after="240"/>
        <w:rPr>
          <w:rFonts w:ascii="Times New Roman" w:hAnsi="Times New Roman"/>
          <w:b/>
          <w:bCs/>
          <w:sz w:val="24"/>
          <w:lang w:val="en-GB"/>
        </w:rPr>
      </w:pPr>
      <w:r w:rsidRPr="000723C2">
        <w:rPr>
          <w:rFonts w:ascii="Times New Roman" w:hAnsi="Times New Roman"/>
          <w:b/>
          <w:bCs/>
          <w:sz w:val="28"/>
          <w:szCs w:val="24"/>
          <w:lang w:val="en-GB"/>
        </w:rPr>
        <w:t>Supplementary Tables and Figures</w:t>
      </w:r>
    </w:p>
    <w:p w14:paraId="38CEB723" w14:textId="63F41ABF" w:rsidR="0017170C" w:rsidRPr="000723C2" w:rsidRDefault="0017170C" w:rsidP="00AA0092">
      <w:pPr>
        <w:spacing w:before="240" w:after="240"/>
        <w:rPr>
          <w:rFonts w:ascii="Times New Roman" w:eastAsia="MS Mincho" w:hAnsi="Times New Roman"/>
          <w:sz w:val="24"/>
          <w:lang w:val="en-GB" w:eastAsia="ja-JP"/>
        </w:rPr>
      </w:pPr>
      <w:r w:rsidRPr="000723C2">
        <w:rPr>
          <w:rFonts w:ascii="Times New Roman" w:eastAsia="MS Mincho" w:hAnsi="Times New Roman"/>
          <w:b/>
          <w:bCs/>
          <w:sz w:val="24"/>
          <w:lang w:val="en-GB" w:eastAsia="ja-JP"/>
        </w:rPr>
        <w:t xml:space="preserve">Table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1</w:t>
      </w:r>
      <w:r w:rsidRPr="000723C2">
        <w:rPr>
          <w:rFonts w:ascii="Times New Roman" w:eastAsia="MS Mincho" w:hAnsi="Times New Roman"/>
          <w:sz w:val="24"/>
          <w:lang w:val="en-GB" w:eastAsia="ja-JP"/>
        </w:rPr>
        <w:t xml:space="preserve"> Calculated Debye screening length (</w:t>
      </w:r>
      <w:r w:rsidRPr="000723C2">
        <w:rPr>
          <w:rFonts w:ascii="Times New Roman" w:hAnsi="Times New Roman"/>
          <w:i/>
          <w:iCs/>
          <w:sz w:val="24"/>
        </w:rPr>
        <w:t>λ</w:t>
      </w:r>
      <w:r w:rsidRPr="000723C2">
        <w:rPr>
          <w:rFonts w:ascii="Times New Roman" w:hAnsi="Times New Roman"/>
          <w:i/>
          <w:iCs/>
          <w:sz w:val="24"/>
          <w:vertAlign w:val="subscript"/>
          <w:lang w:val="en-GB"/>
        </w:rPr>
        <w:t>D</w:t>
      </w:r>
      <w:r w:rsidRPr="000723C2">
        <w:rPr>
          <w:rFonts w:ascii="Times New Roman" w:eastAsia="MS Mincho" w:hAnsi="Times New Roman"/>
          <w:sz w:val="24"/>
          <w:lang w:val="en-GB" w:eastAsia="ja-JP"/>
        </w:rPr>
        <w:t>) for KCl solutions</w:t>
      </w:r>
    </w:p>
    <w:tbl>
      <w:tblPr>
        <w:tblStyle w:val="TableGrid"/>
        <w:tblW w:w="0" w:type="auto"/>
        <w:tblLook w:val="04A0" w:firstRow="1" w:lastRow="0" w:firstColumn="1" w:lastColumn="0" w:noHBand="0" w:noVBand="1"/>
      </w:tblPr>
      <w:tblGrid>
        <w:gridCol w:w="4531"/>
        <w:gridCol w:w="4531"/>
      </w:tblGrid>
      <w:tr w:rsidR="000723C2" w:rsidRPr="000723C2" w14:paraId="4DCB4595" w14:textId="77777777" w:rsidTr="009A2445">
        <w:tc>
          <w:tcPr>
            <w:tcW w:w="4531" w:type="dxa"/>
          </w:tcPr>
          <w:p w14:paraId="6D5494D3"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KCl Concentration (M)</w:t>
            </w:r>
          </w:p>
        </w:tc>
        <w:tc>
          <w:tcPr>
            <w:tcW w:w="4531" w:type="dxa"/>
          </w:tcPr>
          <w:p w14:paraId="60DE5E0F"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Debye Length, </w:t>
            </w:r>
            <w:r w:rsidRPr="000723C2">
              <w:rPr>
                <w:rFonts w:ascii="Times New Roman" w:hAnsi="Times New Roman"/>
                <w:bCs/>
                <w:i/>
                <w:iCs/>
                <w:sz w:val="21"/>
                <w:szCs w:val="21"/>
              </w:rPr>
              <w:t>λ</w:t>
            </w:r>
            <w:r w:rsidRPr="000723C2">
              <w:rPr>
                <w:rFonts w:ascii="Times New Roman" w:hAnsi="Times New Roman"/>
                <w:bCs/>
                <w:i/>
                <w:iCs/>
                <w:sz w:val="21"/>
                <w:szCs w:val="21"/>
                <w:vertAlign w:val="subscript"/>
                <w:lang w:val="en-GB"/>
              </w:rPr>
              <w:t>D</w:t>
            </w:r>
            <w:r w:rsidRPr="000723C2">
              <w:rPr>
                <w:rFonts w:ascii="Times New Roman" w:eastAsia="MS Mincho" w:hAnsi="Times New Roman"/>
                <w:bCs/>
                <w:sz w:val="21"/>
                <w:szCs w:val="21"/>
                <w:lang w:val="en-GB" w:eastAsia="ja-JP"/>
              </w:rPr>
              <w:t xml:space="preserve"> (nm)</w:t>
            </w:r>
          </w:p>
        </w:tc>
      </w:tr>
      <w:tr w:rsidR="000723C2" w:rsidRPr="000723C2" w14:paraId="5B9F9914" w14:textId="77777777" w:rsidTr="009A2445">
        <w:tc>
          <w:tcPr>
            <w:tcW w:w="4531" w:type="dxa"/>
          </w:tcPr>
          <w:p w14:paraId="0A3940B2" w14:textId="77777777" w:rsidR="0017170C" w:rsidRPr="000723C2" w:rsidRDefault="0017170C" w:rsidP="00AA0092">
            <w:pPr>
              <w:spacing w:before="120" w:after="120"/>
              <w:jc w:val="center"/>
              <w:rPr>
                <w:rFonts w:ascii="Times New Roman" w:eastAsia="MS Mincho" w:hAnsi="Times New Roman"/>
                <w:sz w:val="21"/>
                <w:szCs w:val="21"/>
                <w:lang w:val="en-GB" w:eastAsia="ja-JP"/>
              </w:rPr>
            </w:pPr>
            <w:r w:rsidRPr="000723C2">
              <w:rPr>
                <w:rFonts w:ascii="Times New Roman" w:eastAsia="MS Mincho" w:hAnsi="Times New Roman"/>
                <w:bCs/>
                <w:sz w:val="21"/>
                <w:szCs w:val="21"/>
                <w:lang w:val="en-US" w:eastAsia="ja-JP"/>
              </w:rPr>
              <w:t>10</w:t>
            </w:r>
            <w:r w:rsidRPr="000723C2">
              <w:rPr>
                <w:rFonts w:ascii="Times New Roman" w:eastAsia="MS Mincho" w:hAnsi="Times New Roman"/>
                <w:bCs/>
                <w:sz w:val="21"/>
                <w:szCs w:val="21"/>
                <w:vertAlign w:val="superscript"/>
                <w:lang w:val="en-US" w:eastAsia="ja-JP"/>
              </w:rPr>
              <w:t>-5</w:t>
            </w:r>
            <w:r w:rsidRPr="000723C2">
              <w:rPr>
                <w:rFonts w:ascii="Times New Roman" w:eastAsia="MS Mincho" w:hAnsi="Times New Roman"/>
                <w:bCs/>
                <w:sz w:val="21"/>
                <w:szCs w:val="21"/>
                <w:lang w:val="en-US" w:eastAsia="ja-JP"/>
              </w:rPr>
              <w:t xml:space="preserve"> M</w:t>
            </w:r>
          </w:p>
        </w:tc>
        <w:tc>
          <w:tcPr>
            <w:tcW w:w="4531" w:type="dxa"/>
          </w:tcPr>
          <w:p w14:paraId="51739ECA"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96.3</w:t>
            </w:r>
          </w:p>
        </w:tc>
      </w:tr>
      <w:tr w:rsidR="000723C2" w:rsidRPr="000723C2" w14:paraId="24596373" w14:textId="77777777" w:rsidTr="009A2445">
        <w:tc>
          <w:tcPr>
            <w:tcW w:w="4531" w:type="dxa"/>
          </w:tcPr>
          <w:p w14:paraId="14C06B1C" w14:textId="77777777" w:rsidR="0017170C" w:rsidRPr="000723C2" w:rsidRDefault="0017170C" w:rsidP="00AA0092">
            <w:pPr>
              <w:spacing w:before="120" w:after="120"/>
              <w:jc w:val="center"/>
              <w:rPr>
                <w:rFonts w:ascii="Times New Roman" w:eastAsia="MS Mincho" w:hAnsi="Times New Roman"/>
                <w:sz w:val="21"/>
                <w:szCs w:val="21"/>
                <w:lang w:val="en-GB" w:eastAsia="ja-JP"/>
              </w:rPr>
            </w:pPr>
            <w:r w:rsidRPr="000723C2">
              <w:rPr>
                <w:rFonts w:ascii="Times New Roman" w:eastAsia="MS Mincho" w:hAnsi="Times New Roman"/>
                <w:bCs/>
                <w:sz w:val="21"/>
                <w:szCs w:val="21"/>
                <w:lang w:val="en-US" w:eastAsia="ja-JP"/>
              </w:rPr>
              <w:t>10</w:t>
            </w:r>
            <w:r w:rsidRPr="000723C2">
              <w:rPr>
                <w:rFonts w:ascii="Times New Roman" w:eastAsia="MS Mincho" w:hAnsi="Times New Roman"/>
                <w:bCs/>
                <w:sz w:val="21"/>
                <w:szCs w:val="21"/>
                <w:vertAlign w:val="superscript"/>
                <w:lang w:val="en-US" w:eastAsia="ja-JP"/>
              </w:rPr>
              <w:t>-4</w:t>
            </w:r>
            <w:r w:rsidRPr="000723C2">
              <w:rPr>
                <w:rFonts w:ascii="Times New Roman" w:eastAsia="MS Mincho" w:hAnsi="Times New Roman"/>
                <w:bCs/>
                <w:sz w:val="21"/>
                <w:szCs w:val="21"/>
                <w:lang w:val="en-US" w:eastAsia="ja-JP"/>
              </w:rPr>
              <w:t xml:space="preserve"> M</w:t>
            </w:r>
          </w:p>
        </w:tc>
        <w:tc>
          <w:tcPr>
            <w:tcW w:w="4531" w:type="dxa"/>
          </w:tcPr>
          <w:p w14:paraId="34D9D8A8"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30.5</w:t>
            </w:r>
          </w:p>
        </w:tc>
      </w:tr>
      <w:tr w:rsidR="000723C2" w:rsidRPr="000723C2" w14:paraId="45BD43BE" w14:textId="77777777" w:rsidTr="009A2445">
        <w:tc>
          <w:tcPr>
            <w:tcW w:w="4531" w:type="dxa"/>
          </w:tcPr>
          <w:p w14:paraId="1448F205" w14:textId="77777777" w:rsidR="0017170C" w:rsidRPr="000723C2" w:rsidRDefault="0017170C" w:rsidP="00AA0092">
            <w:pPr>
              <w:spacing w:before="120" w:after="120"/>
              <w:jc w:val="center"/>
              <w:rPr>
                <w:rFonts w:ascii="Times New Roman" w:eastAsia="MS Mincho" w:hAnsi="Times New Roman"/>
                <w:sz w:val="21"/>
                <w:szCs w:val="21"/>
                <w:lang w:val="en-GB" w:eastAsia="ja-JP"/>
              </w:rPr>
            </w:pPr>
            <w:r w:rsidRPr="000723C2">
              <w:rPr>
                <w:rFonts w:ascii="Times New Roman" w:eastAsia="MS Mincho" w:hAnsi="Times New Roman"/>
                <w:bCs/>
                <w:sz w:val="21"/>
                <w:szCs w:val="21"/>
                <w:lang w:val="en-US" w:eastAsia="ja-JP"/>
              </w:rPr>
              <w:t>10</w:t>
            </w:r>
            <w:r w:rsidRPr="000723C2">
              <w:rPr>
                <w:rFonts w:ascii="Times New Roman" w:eastAsia="MS Mincho" w:hAnsi="Times New Roman"/>
                <w:bCs/>
                <w:sz w:val="21"/>
                <w:szCs w:val="21"/>
                <w:vertAlign w:val="superscript"/>
                <w:lang w:val="en-US" w:eastAsia="ja-JP"/>
              </w:rPr>
              <w:t>-3</w:t>
            </w:r>
            <w:r w:rsidRPr="000723C2">
              <w:rPr>
                <w:rFonts w:ascii="Times New Roman" w:eastAsia="MS Mincho" w:hAnsi="Times New Roman"/>
                <w:bCs/>
                <w:sz w:val="21"/>
                <w:szCs w:val="21"/>
                <w:lang w:val="en-US" w:eastAsia="ja-JP"/>
              </w:rPr>
              <w:t xml:space="preserve"> M</w:t>
            </w:r>
          </w:p>
        </w:tc>
        <w:tc>
          <w:tcPr>
            <w:tcW w:w="4531" w:type="dxa"/>
          </w:tcPr>
          <w:p w14:paraId="4D7968FB"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9.63</w:t>
            </w:r>
          </w:p>
        </w:tc>
      </w:tr>
      <w:tr w:rsidR="000723C2" w:rsidRPr="000723C2" w14:paraId="15D5E37F" w14:textId="77777777" w:rsidTr="009A2445">
        <w:tc>
          <w:tcPr>
            <w:tcW w:w="4531" w:type="dxa"/>
          </w:tcPr>
          <w:p w14:paraId="08DCB2B5" w14:textId="77777777" w:rsidR="0017170C" w:rsidRPr="000723C2" w:rsidRDefault="0017170C" w:rsidP="00AA0092">
            <w:pPr>
              <w:spacing w:before="120" w:after="120"/>
              <w:jc w:val="center"/>
              <w:rPr>
                <w:rFonts w:ascii="Times New Roman" w:eastAsia="MS Mincho" w:hAnsi="Times New Roman"/>
                <w:sz w:val="21"/>
                <w:szCs w:val="21"/>
                <w:lang w:val="en-GB" w:eastAsia="ja-JP"/>
              </w:rPr>
            </w:pPr>
            <w:r w:rsidRPr="000723C2">
              <w:rPr>
                <w:rFonts w:ascii="Times New Roman" w:eastAsia="MS Mincho" w:hAnsi="Times New Roman"/>
                <w:bCs/>
                <w:sz w:val="21"/>
                <w:szCs w:val="21"/>
                <w:lang w:val="en-US" w:eastAsia="ja-JP"/>
              </w:rPr>
              <w:t>10</w:t>
            </w:r>
            <w:r w:rsidRPr="000723C2">
              <w:rPr>
                <w:rFonts w:ascii="Times New Roman" w:eastAsia="MS Mincho" w:hAnsi="Times New Roman"/>
                <w:bCs/>
                <w:sz w:val="21"/>
                <w:szCs w:val="21"/>
                <w:vertAlign w:val="superscript"/>
                <w:lang w:val="en-US" w:eastAsia="ja-JP"/>
              </w:rPr>
              <w:t>-2</w:t>
            </w:r>
            <w:r w:rsidRPr="000723C2">
              <w:rPr>
                <w:rFonts w:ascii="Times New Roman" w:eastAsia="MS Mincho" w:hAnsi="Times New Roman"/>
                <w:bCs/>
                <w:sz w:val="21"/>
                <w:szCs w:val="21"/>
                <w:lang w:val="en-US" w:eastAsia="ja-JP"/>
              </w:rPr>
              <w:t xml:space="preserve"> M</w:t>
            </w:r>
          </w:p>
        </w:tc>
        <w:tc>
          <w:tcPr>
            <w:tcW w:w="4531" w:type="dxa"/>
          </w:tcPr>
          <w:p w14:paraId="15C085B3"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3.05</w:t>
            </w:r>
          </w:p>
        </w:tc>
      </w:tr>
      <w:tr w:rsidR="000723C2" w:rsidRPr="000723C2" w14:paraId="0EBC5991" w14:textId="77777777" w:rsidTr="009A2445">
        <w:tc>
          <w:tcPr>
            <w:tcW w:w="4531" w:type="dxa"/>
          </w:tcPr>
          <w:p w14:paraId="49852CD8" w14:textId="77777777" w:rsidR="0017170C" w:rsidRPr="000723C2" w:rsidRDefault="0017170C" w:rsidP="00AA0092">
            <w:pPr>
              <w:spacing w:before="120" w:after="120"/>
              <w:jc w:val="center"/>
              <w:rPr>
                <w:rFonts w:ascii="Times New Roman" w:eastAsia="MS Mincho" w:hAnsi="Times New Roman"/>
                <w:sz w:val="21"/>
                <w:szCs w:val="21"/>
                <w:lang w:val="en-GB" w:eastAsia="ja-JP"/>
              </w:rPr>
            </w:pPr>
            <w:r w:rsidRPr="000723C2">
              <w:rPr>
                <w:rFonts w:ascii="Times New Roman" w:eastAsia="MS Mincho" w:hAnsi="Times New Roman"/>
                <w:bCs/>
                <w:sz w:val="21"/>
                <w:szCs w:val="21"/>
                <w:lang w:val="en-US" w:eastAsia="ja-JP"/>
              </w:rPr>
              <w:t>10</w:t>
            </w:r>
            <w:r w:rsidRPr="000723C2">
              <w:rPr>
                <w:rFonts w:ascii="Times New Roman" w:eastAsia="MS Mincho" w:hAnsi="Times New Roman"/>
                <w:bCs/>
                <w:sz w:val="21"/>
                <w:szCs w:val="21"/>
                <w:vertAlign w:val="superscript"/>
                <w:lang w:val="en-US" w:eastAsia="ja-JP"/>
              </w:rPr>
              <w:t>-1</w:t>
            </w:r>
            <w:r w:rsidRPr="000723C2">
              <w:rPr>
                <w:rFonts w:ascii="Times New Roman" w:eastAsia="MS Mincho" w:hAnsi="Times New Roman"/>
                <w:bCs/>
                <w:sz w:val="21"/>
                <w:szCs w:val="21"/>
                <w:lang w:val="en-US" w:eastAsia="ja-JP"/>
              </w:rPr>
              <w:t xml:space="preserve"> M</w:t>
            </w:r>
          </w:p>
        </w:tc>
        <w:tc>
          <w:tcPr>
            <w:tcW w:w="4531" w:type="dxa"/>
          </w:tcPr>
          <w:p w14:paraId="15162CAB"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0.96</w:t>
            </w:r>
          </w:p>
        </w:tc>
      </w:tr>
      <w:tr w:rsidR="000723C2" w:rsidRPr="000723C2" w14:paraId="3BCAFC8F" w14:textId="77777777" w:rsidTr="009A2445">
        <w:tc>
          <w:tcPr>
            <w:tcW w:w="4531" w:type="dxa"/>
          </w:tcPr>
          <w:p w14:paraId="6AC4C10D"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 M</w:t>
            </w:r>
          </w:p>
        </w:tc>
        <w:tc>
          <w:tcPr>
            <w:tcW w:w="4531" w:type="dxa"/>
          </w:tcPr>
          <w:p w14:paraId="192F0477" w14:textId="77777777" w:rsidR="0017170C" w:rsidRPr="000723C2" w:rsidRDefault="0017170C" w:rsidP="00AA0092">
            <w:pPr>
              <w:spacing w:before="120" w:after="120"/>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0.3</w:t>
            </w:r>
          </w:p>
        </w:tc>
      </w:tr>
    </w:tbl>
    <w:p w14:paraId="7547BDAE" w14:textId="77777777" w:rsidR="0017170C" w:rsidRPr="000723C2" w:rsidRDefault="0017170C" w:rsidP="00640FB7">
      <w:pPr>
        <w:spacing w:before="120" w:after="120"/>
        <w:rPr>
          <w:rFonts w:ascii="Times New Roman" w:eastAsia="MS Mincho" w:hAnsi="Times New Roman"/>
          <w:sz w:val="24"/>
          <w:lang w:val="en-GB" w:eastAsia="ja-JP"/>
        </w:rPr>
        <w:sectPr w:rsidR="0017170C" w:rsidRPr="000723C2">
          <w:headerReference w:type="default" r:id="rId10"/>
          <w:footerReference w:type="default" r:id="rId11"/>
          <w:pgSz w:w="11906" w:h="16838"/>
          <w:pgMar w:top="1417" w:right="1417" w:bottom="1134" w:left="1417" w:header="708" w:footer="708" w:gutter="0"/>
          <w:cols w:space="708"/>
          <w:docGrid w:linePitch="360"/>
        </w:sectPr>
      </w:pPr>
    </w:p>
    <w:p w14:paraId="5C44C434" w14:textId="670FD327" w:rsidR="0017170C" w:rsidRPr="000723C2" w:rsidRDefault="0017170C" w:rsidP="00AA0092">
      <w:pPr>
        <w:spacing w:after="120"/>
        <w:rPr>
          <w:rFonts w:ascii="Times New Roman" w:eastAsia="MS Mincho" w:hAnsi="Times New Roman"/>
          <w:szCs w:val="21"/>
          <w:lang w:val="en-GB" w:eastAsia="ja-JP"/>
        </w:rPr>
      </w:pPr>
      <w:r w:rsidRPr="000723C2">
        <w:rPr>
          <w:rFonts w:ascii="Times New Roman" w:eastAsia="MS Mincho" w:hAnsi="Times New Roman"/>
          <w:b/>
          <w:bCs/>
          <w:sz w:val="24"/>
          <w:szCs w:val="24"/>
          <w:lang w:val="en-GB" w:eastAsia="ja-JP"/>
        </w:rPr>
        <w:lastRenderedPageBreak/>
        <w:t xml:space="preserve">Table </w:t>
      </w:r>
      <w:r w:rsidR="00AA0092" w:rsidRPr="000723C2">
        <w:rPr>
          <w:rFonts w:ascii="Times New Roman" w:eastAsia="MS Mincho" w:hAnsi="Times New Roman"/>
          <w:b/>
          <w:bCs/>
          <w:sz w:val="24"/>
          <w:szCs w:val="24"/>
          <w:lang w:val="en-GB" w:eastAsia="ja-JP"/>
        </w:rPr>
        <w:t>S</w:t>
      </w:r>
      <w:r w:rsidRPr="000723C2">
        <w:rPr>
          <w:rFonts w:ascii="Times New Roman" w:eastAsia="MS Mincho" w:hAnsi="Times New Roman"/>
          <w:b/>
          <w:bCs/>
          <w:sz w:val="24"/>
          <w:szCs w:val="24"/>
          <w:lang w:val="en-GB" w:eastAsia="ja-JP"/>
        </w:rPr>
        <w:t>2</w:t>
      </w:r>
      <w:r w:rsidRPr="000723C2">
        <w:rPr>
          <w:rFonts w:ascii="Times New Roman" w:eastAsia="MS Mincho" w:hAnsi="Times New Roman"/>
          <w:sz w:val="24"/>
          <w:szCs w:val="24"/>
          <w:lang w:val="en-GB" w:eastAsia="ja-JP"/>
        </w:rPr>
        <w:t xml:space="preserve"> Architectural and functional comparison of membrane-based sub-1 mL µMFCs</w:t>
      </w:r>
    </w:p>
    <w:tbl>
      <w:tblPr>
        <w:tblStyle w:val="TableGrid"/>
        <w:tblW w:w="14680" w:type="dxa"/>
        <w:tblLayout w:type="fixed"/>
        <w:tblLook w:val="04A0" w:firstRow="1" w:lastRow="0" w:firstColumn="1" w:lastColumn="0" w:noHBand="0" w:noVBand="1"/>
      </w:tblPr>
      <w:tblGrid>
        <w:gridCol w:w="846"/>
        <w:gridCol w:w="992"/>
        <w:gridCol w:w="1134"/>
        <w:gridCol w:w="1843"/>
        <w:gridCol w:w="1843"/>
        <w:gridCol w:w="1701"/>
        <w:gridCol w:w="1984"/>
        <w:gridCol w:w="4337"/>
      </w:tblGrid>
      <w:tr w:rsidR="000723C2" w:rsidRPr="000723C2" w14:paraId="18EE13D5" w14:textId="77777777" w:rsidTr="009A2445">
        <w:tc>
          <w:tcPr>
            <w:tcW w:w="846" w:type="dxa"/>
            <w:vAlign w:val="center"/>
          </w:tcPr>
          <w:p w14:paraId="5527F2CE"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Ref.</w:t>
            </w:r>
          </w:p>
        </w:tc>
        <w:tc>
          <w:tcPr>
            <w:tcW w:w="992" w:type="dxa"/>
            <w:vAlign w:val="center"/>
          </w:tcPr>
          <w:p w14:paraId="789AA299"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Anolyte volume (A.v.), nL. </w:t>
            </w:r>
          </w:p>
        </w:tc>
        <w:tc>
          <w:tcPr>
            <w:tcW w:w="1134" w:type="dxa"/>
            <w:vAlign w:val="center"/>
          </w:tcPr>
          <w:p w14:paraId="5F5CB8A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Total volume (T.v.), nL.</w:t>
            </w:r>
          </w:p>
        </w:tc>
        <w:tc>
          <w:tcPr>
            <w:tcW w:w="1843" w:type="dxa"/>
            <w:vAlign w:val="center"/>
          </w:tcPr>
          <w:p w14:paraId="032495E5"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Architecture/Fabrication</w:t>
            </w:r>
          </w:p>
        </w:tc>
        <w:tc>
          <w:tcPr>
            <w:tcW w:w="1843" w:type="dxa"/>
            <w:vAlign w:val="center"/>
          </w:tcPr>
          <w:p w14:paraId="2D9720A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Membrane/Separator</w:t>
            </w:r>
          </w:p>
        </w:tc>
        <w:tc>
          <w:tcPr>
            <w:tcW w:w="1701" w:type="dxa"/>
            <w:vAlign w:val="center"/>
          </w:tcPr>
          <w:p w14:paraId="19CC4B7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Maximum volumetric power density normalized per A.v., mW/cm</w:t>
            </w:r>
            <w:r w:rsidRPr="000723C2">
              <w:rPr>
                <w:rFonts w:ascii="Times New Roman" w:eastAsia="MS Mincho" w:hAnsi="Times New Roman"/>
                <w:bCs/>
                <w:sz w:val="21"/>
                <w:szCs w:val="21"/>
                <w:vertAlign w:val="superscript"/>
                <w:lang w:val="en-GB" w:eastAsia="ja-JP"/>
              </w:rPr>
              <w:t>3</w:t>
            </w:r>
          </w:p>
        </w:tc>
        <w:tc>
          <w:tcPr>
            <w:tcW w:w="1984" w:type="dxa"/>
            <w:vAlign w:val="center"/>
          </w:tcPr>
          <w:p w14:paraId="4D77BF77"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Maximum volumetric</w:t>
            </w:r>
          </w:p>
          <w:p w14:paraId="05F90AA8"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 power density normalized per T.v., mW/cm</w:t>
            </w:r>
            <w:r w:rsidRPr="000723C2">
              <w:rPr>
                <w:rFonts w:ascii="Times New Roman" w:eastAsia="MS Mincho" w:hAnsi="Times New Roman"/>
                <w:bCs/>
                <w:sz w:val="21"/>
                <w:szCs w:val="21"/>
                <w:vertAlign w:val="superscript"/>
                <w:lang w:val="en-GB" w:eastAsia="ja-JP"/>
              </w:rPr>
              <w:t>3</w:t>
            </w:r>
          </w:p>
        </w:tc>
        <w:tc>
          <w:tcPr>
            <w:tcW w:w="4337" w:type="dxa"/>
            <w:vAlign w:val="center"/>
          </w:tcPr>
          <w:p w14:paraId="3E1A7B04"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Key features/ Functional notes</w:t>
            </w:r>
          </w:p>
        </w:tc>
      </w:tr>
      <w:tr w:rsidR="000723C2" w:rsidRPr="000723C2" w14:paraId="5EA951FE" w14:textId="77777777" w:rsidTr="009A2445">
        <w:tc>
          <w:tcPr>
            <w:tcW w:w="846" w:type="dxa"/>
            <w:vAlign w:val="center"/>
          </w:tcPr>
          <w:p w14:paraId="007BA1E2" w14:textId="565C4BCE"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10.1039/b910586g","ISSN":"1473-0197","author":[{"dropping-particle":"","family":"Qian","given":"Fang","non-dropping-particle":"","parse-names":false,"suffix":""},{"dropping-particle":"","family":"Baum","given":"Mary","non-dropping-particle":"","parse-names":false,"suffix":""},{"dropping-particle":"","family":"Gu","given":"Qian","non-dropping-particle":"","parse-names":false,"suffix":""},{"dropping-particle":"","family":"Morse","given":"Daniel E.","non-dropping-particle":"","parse-names":false,"suffix":""}],"container-title":"Lab on a Chip","id":"ITEM-1","issue":"21","issued":{"date-parts":[["2009"]]},"page":"3076","title":"A 1.5 µL microbial fuel cell for on-chip bioelectricity generation","type":"article-journal","volume":"9"},"uris":["http://www.mendeley.com/documents/?uuid=40c6b7f5-8ccc-4c76-bbc8-57d40e32749f"]}],"mendeley":{"formattedCitation":"&lt;span style=\"baseline\"&gt;[16]&lt;/span&gt;","plainTextFormattedCitation":"[16]","previouslyFormattedCitation":"&lt;span style=\"baseline\"&gt;[16]&lt;/span&gt;"},"properties":{"noteIndex":0},"schema":"https://github.com/citation-style-language/schema/raw/master/csl-citation.json"}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[16]</w:t>
            </w:r>
            <w:r w:rsidRPr="000723C2">
              <w:rPr>
                <w:rFonts w:ascii="Times New Roman" w:eastAsia="MS Mincho" w:hAnsi="Times New Roman"/>
                <w:b/>
                <w:bCs/>
                <w:szCs w:val="21"/>
                <w:lang w:val="en-GB" w:eastAsia="ja-JP"/>
              </w:rPr>
              <w:fldChar w:fldCharType="end"/>
            </w:r>
          </w:p>
          <w:p w14:paraId="21FE03DD"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28E707EF"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1500</w:t>
            </w:r>
          </w:p>
        </w:tc>
        <w:tc>
          <w:tcPr>
            <w:tcW w:w="1134" w:type="dxa"/>
            <w:vAlign w:val="center"/>
          </w:tcPr>
          <w:p w14:paraId="42282837"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5500</w:t>
            </w:r>
          </w:p>
        </w:tc>
        <w:tc>
          <w:tcPr>
            <w:tcW w:w="1843" w:type="dxa"/>
            <w:vAlign w:val="center"/>
          </w:tcPr>
          <w:p w14:paraId="199B93A5"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Vertically stacked </w:t>
            </w:r>
            <w:r w:rsidRPr="000723C2">
              <w:rPr>
                <w:rFonts w:ascii="Times New Roman" w:eastAsia="MS Mincho" w:hAnsi="Times New Roman"/>
                <w:sz w:val="21"/>
                <w:szCs w:val="21"/>
                <w:lang w:val="en-GB" w:eastAsia="ja-JP"/>
              </w:rPr>
              <w:t>dual-chamber, microfluidic</w:t>
            </w:r>
          </w:p>
        </w:tc>
        <w:tc>
          <w:tcPr>
            <w:tcW w:w="1843" w:type="dxa"/>
            <w:vAlign w:val="center"/>
          </w:tcPr>
          <w:p w14:paraId="007BF205"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sz w:val="21"/>
                <w:szCs w:val="21"/>
              </w:rPr>
              <w:t>Nafion™ 117</w:t>
            </w:r>
          </w:p>
        </w:tc>
        <w:tc>
          <w:tcPr>
            <w:tcW w:w="1701" w:type="dxa"/>
            <w:vAlign w:val="center"/>
          </w:tcPr>
          <w:p w14:paraId="2E004B7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0.015</w:t>
            </w:r>
          </w:p>
        </w:tc>
        <w:tc>
          <w:tcPr>
            <w:tcW w:w="1984" w:type="dxa"/>
            <w:vAlign w:val="center"/>
          </w:tcPr>
          <w:p w14:paraId="5C5BB6B2"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0.004</w:t>
            </w:r>
          </w:p>
        </w:tc>
        <w:tc>
          <w:tcPr>
            <w:tcW w:w="4337" w:type="dxa"/>
            <w:vAlign w:val="center"/>
          </w:tcPr>
          <w:p w14:paraId="457CC549"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bCs/>
                <w:sz w:val="21"/>
                <w:szCs w:val="21"/>
                <w:lang w:val="en-GB"/>
              </w:rPr>
              <w:t>Early on-chip µMFC demonstration.</w:t>
            </w:r>
          </w:p>
        </w:tc>
      </w:tr>
      <w:tr w:rsidR="000723C2" w:rsidRPr="000723C2" w14:paraId="67C4D37C" w14:textId="77777777" w:rsidTr="009A2445">
        <w:tc>
          <w:tcPr>
            <w:tcW w:w="846" w:type="dxa"/>
            <w:vAlign w:val="center"/>
          </w:tcPr>
          <w:p w14:paraId="20BB5A43" w14:textId="62149ED6"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 </w:t>
            </w: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{"citationItems":[{"id":"ITEM-1","itemData":{"DOI":"10.1016/j.bios.2014.05.037","ISSN":"09565663","author":[{"dropping-particle":"","family":"Ren","given":"Hao","non-dropping-particle":"","parse-names":false,"suffix":""},{"dropping-particle":"","family":"Torres","given":"César I.","non-dropping-particle":"","parse-names":false,"suffix":""},{"dropping-particle":"","family":"Parameswaran","given":"Prathap","non-dropping-particle":"","parse-names":false,"suffix":""},{"dropping-particle":"","family":"Rittmann","given":"Bruce E.","non-dropping-particle":"","parse-names":false,"suffix":""},{"dropping-particle":"","family":"Chae","given":"Junseok","non-dropping-particle":"","parse-names":false,"suffix":""}],"container-title":"Biosensors and Bioelectronics","id":"ITEM-1","issued":{"date-parts":[["2014","11"]]},"page":"587-592","title":"Improved current and power density with a micro-scale microbial fuel cell due to a small characteristic length","type":"article-journal","volume":"61"},"uris":["http://www.mendeley.com/documents/?uuid=d973eaa0-c717-4b62-b853-11b2d02cf53f"]}],"mendeley":{"formattedCitation":"&lt;span style=\"baseline\"&gt;[47]&lt;/span&gt;","plainTextFormattedCitation":"[47]","previouslyFormattedCitation":"&lt;span style=\"baseline\"&gt;[47]&lt;/span&gt;"},"properties":{"noteIndex":0},"schema":"https://github.com/citation-style-language/schema/raw/master/csl-citation.json"}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[47]</w:t>
            </w:r>
            <w:r w:rsidRPr="000723C2">
              <w:rPr>
                <w:rFonts w:ascii="Times New Roman" w:eastAsia="MS Mincho" w:hAnsi="Times New Roman"/>
                <w:b/>
                <w:bCs/>
                <w:szCs w:val="21"/>
                <w:lang w:val="en-GB" w:eastAsia="ja-JP"/>
              </w:rPr>
              <w:fldChar w:fldCharType="end"/>
            </w:r>
          </w:p>
          <w:p w14:paraId="4E827FC6"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7F6CBB0C"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100000</w:t>
            </w:r>
          </w:p>
        </w:tc>
        <w:tc>
          <w:tcPr>
            <w:tcW w:w="1134" w:type="dxa"/>
            <w:vAlign w:val="center"/>
          </w:tcPr>
          <w:p w14:paraId="0950BFB0"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200000</w:t>
            </w:r>
          </w:p>
        </w:tc>
        <w:tc>
          <w:tcPr>
            <w:tcW w:w="1843" w:type="dxa"/>
            <w:vAlign w:val="center"/>
          </w:tcPr>
          <w:p w14:paraId="79D66E05"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Planar, glass slide assembly, gasket-defined</w:t>
            </w:r>
          </w:p>
        </w:tc>
        <w:tc>
          <w:tcPr>
            <w:tcW w:w="1843" w:type="dxa"/>
            <w:vAlign w:val="center"/>
          </w:tcPr>
          <w:p w14:paraId="3247A0AA"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Nafion™ 117</w:t>
            </w:r>
          </w:p>
        </w:tc>
        <w:tc>
          <w:tcPr>
            <w:tcW w:w="1701" w:type="dxa"/>
            <w:vAlign w:val="center"/>
          </w:tcPr>
          <w:p w14:paraId="00EB7480"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3.3</w:t>
            </w:r>
          </w:p>
        </w:tc>
        <w:tc>
          <w:tcPr>
            <w:tcW w:w="1984" w:type="dxa"/>
            <w:vAlign w:val="center"/>
          </w:tcPr>
          <w:p w14:paraId="63E104B3"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1.65</w:t>
            </w:r>
          </w:p>
        </w:tc>
        <w:tc>
          <w:tcPr>
            <w:tcW w:w="4337" w:type="dxa"/>
            <w:vAlign w:val="center"/>
          </w:tcPr>
          <w:p w14:paraId="4A7E3BB1"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bCs/>
                <w:sz w:val="21"/>
                <w:szCs w:val="21"/>
                <w:lang w:val="en-GB"/>
              </w:rPr>
              <w:t>Focus on characteristic length; planar chambers.</w:t>
            </w:r>
          </w:p>
        </w:tc>
      </w:tr>
      <w:tr w:rsidR="000723C2" w:rsidRPr="000723C2" w14:paraId="580076D4" w14:textId="77777777" w:rsidTr="009A2445">
        <w:tc>
          <w:tcPr>
            <w:tcW w:w="846" w:type="dxa"/>
            <w:vAlign w:val="center"/>
          </w:tcPr>
          <w:p w14:paraId="04F22241" w14:textId="4C1E6F41"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  </w:t>
            </w: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10.1039/c0lc00494d","ISSN":"1473-0197","author":[{"dropping-particle":"","family":"Choi","given":"Seokheun","non-dropping-particle":"","parse-names":false,"suffix":""},{"dropping-particle":"","family":"Lee","given":"Hyung-Sool","non-dropping-particle":"","parse-names":false,"suffix":""},{"dropping-particle":"","family":"Yang","given":"Yongmo","non-dropping-particle":"","parse-names":false,"suffix":""},{"dropping-particle":"","family":"Parameswaran","given":"Prathap","non-dropping-particle":"","parse-names":false,"suffix":""},{"dropping-particle":"","family":"Torres","given":"César I.","non-dropping-particle":"","parse-names":false,"suffix":""},{"dropping-particle":"","family":"Rittmann","given":"Bruce E.","non-dropping-particle":"","parse-names":false,"suffix":""},{"dropping-particle":"","family":"Chae","given":"Junseok","non-dropping-particle":"","parse-names":false,"suffix":""}],"container-title":"Lab on a Chip","id":"ITEM-1","issue":"6","issued":{"date-parts":[["2011"]]},"page":"1110","title":"A μL-scale micromachined microbial fuel cell having high power density","type":"article-journal","volume":"11"},"uris":["http://www.mendeley.com/documents/?uuid=d7a8d12a-44d3-49b7-be8d-e3eb5e8ea14a"]}],"mendeley":{"formattedCitation":"&lt;span style=\"baseline\"&gt;[32]&lt;/span&gt;","plainTextFormattedCitation":"[32]","previouslyFormattedCitation":"&lt;span style=\"baseline\"&gt;[32]&lt;/span&gt;"},"properties":{"noteIndex":0},"schema":"https://github.com/citation-style-language/schema/raw/master/csl-citation.json"}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[32]</w:t>
            </w:r>
            <w:r w:rsidRPr="000723C2">
              <w:rPr>
                <w:rFonts w:ascii="Times New Roman" w:eastAsia="MS Mincho" w:hAnsi="Times New Roman"/>
                <w:b/>
                <w:bCs/>
                <w:szCs w:val="21"/>
                <w:lang w:val="en-GB" w:eastAsia="ja-JP"/>
              </w:rPr>
              <w:fldChar w:fldCharType="end"/>
            </w:r>
          </w:p>
          <w:p w14:paraId="5818C1CC"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48CF9310"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4500</w:t>
            </w:r>
          </w:p>
        </w:tc>
        <w:tc>
          <w:tcPr>
            <w:tcW w:w="1134" w:type="dxa"/>
            <w:vAlign w:val="center"/>
          </w:tcPr>
          <w:p w14:paraId="5E49B27D"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9000</w:t>
            </w:r>
          </w:p>
        </w:tc>
        <w:tc>
          <w:tcPr>
            <w:tcW w:w="1843" w:type="dxa"/>
            <w:vAlign w:val="center"/>
          </w:tcPr>
          <w:p w14:paraId="4C5151E8"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Planar MEMS, </w:t>
            </w:r>
            <w:r w:rsidRPr="000723C2">
              <w:rPr>
                <w:rFonts w:ascii="Times New Roman" w:eastAsia="MS Mincho" w:hAnsi="Times New Roman"/>
                <w:sz w:val="21"/>
                <w:szCs w:val="21"/>
                <w:lang w:val="en-GB" w:eastAsia="ja-JP"/>
              </w:rPr>
              <w:t>PDMS-defined chambers</w:t>
            </w:r>
          </w:p>
        </w:tc>
        <w:tc>
          <w:tcPr>
            <w:tcW w:w="1843" w:type="dxa"/>
            <w:vAlign w:val="center"/>
          </w:tcPr>
          <w:p w14:paraId="66C00BB8"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CMI 7000</w:t>
            </w:r>
          </w:p>
        </w:tc>
        <w:tc>
          <w:tcPr>
            <w:tcW w:w="1701" w:type="dxa"/>
            <w:vAlign w:val="center"/>
          </w:tcPr>
          <w:p w14:paraId="708E74E5"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2.3</w:t>
            </w:r>
          </w:p>
        </w:tc>
        <w:tc>
          <w:tcPr>
            <w:tcW w:w="1984" w:type="dxa"/>
            <w:vAlign w:val="center"/>
          </w:tcPr>
          <w:p w14:paraId="24277A57"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1.15</w:t>
            </w:r>
          </w:p>
        </w:tc>
        <w:tc>
          <w:tcPr>
            <w:tcW w:w="4337" w:type="dxa"/>
            <w:vAlign w:val="center"/>
          </w:tcPr>
          <w:p w14:paraId="198D2CE8"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lang w:val="en-GB"/>
              </w:rPr>
              <w:t>High power density; uses conductive Geobacter biofilm; high coulombic efficiency.</w:t>
            </w:r>
          </w:p>
        </w:tc>
      </w:tr>
      <w:tr w:rsidR="000723C2" w:rsidRPr="000723C2" w14:paraId="131D2CA9" w14:textId="77777777" w:rsidTr="009A2445">
        <w:tc>
          <w:tcPr>
            <w:tcW w:w="846" w:type="dxa"/>
            <w:vAlign w:val="center"/>
          </w:tcPr>
          <w:p w14:paraId="24DB85D9"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10.1039/c4cp01086h","ISSN":"1463-9076","author":[{"dropping-particle":"","family":"Vigolo","given":"Daniele","non-dropping-particle":"","parse-names":false,"suffix":""},{"dropping-particle":"","family":"Al-Housseiny","given":"Talal T.","non-dropping-particle":"","parse-names":false,"suffix":""},{"dropping-particle":"","family":"Shen","given":"Yi","non-dropping-particle":"","parse-names":false,"suffix":""},{"dropping-particle":"","family":"Akinlawon","given":"Fiyinfoluwa O.","non-dropping-particle":"","parse-names":false,"suffix":""},{"dropping-particle":"","family":"Al-Housseiny","given":"Saif T.","non-dropping-particle":"","parse-names":false,"suffix":""},{"dropping-particle":"","family":"Hobson","given":"Ronald K.","non-dropping-particle":"","parse-names":false,"suffix":""},{"dropping-particle":"","family":"Sahu","given":"Amaresh","non-dropping-particle":"","parse-names":false,"suffix":""},{"dropping-particle":"","family":"Bedkowski","given":"Katherine I.","non-dropping-particle":"","parse-names":false,"suffix":""},{"dropping-particle":"","family":"DiChristina","given":"Thomas J.","non-dropping-particle":"","parse-names":false,"suffix":""},{"dropping-particle":"","family":"Stone","given":"Howard A.","non-dropping-particle":"","parse-names":false,"suffix":""}],"container-title":"Physical Chemistry Chemical Physics","id":"ITEM-1","issue":"24","issued":{"date-parts":[["2014"]]},"page":"12535","title":"Flow dependent performance of microfluidic microbial fuel cells","type":"article-journal","volume":"16"},"uris":["http://www.mendeley.com/documents/?uuid=72ee04d0-c023-4a7a-a47f-3a628c81a04c"]}],"mendeley":{"formattedCitation":"&lt;span style=\"baseline\"&gt;[33]&lt;/span&gt;","plainTextFormattedCitation":"[33]","previouslyFormattedCitation":"&lt;span style=\"baseline\"&gt;[33]&lt;/span&gt;"},"properties":{"noteIndex":0},"schema":"https://github.com/citation-style-language/schema/raw/master/csl-citation.json"}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[33]</w:t>
            </w:r>
            <w:r w:rsidRPr="000723C2">
              <w:rPr>
                <w:rFonts w:ascii="Times New Roman" w:eastAsia="MS Mincho" w:hAnsi="Times New Roman"/>
                <w:b/>
                <w:bCs/>
                <w:szCs w:val="21"/>
                <w:lang w:val="en-GB" w:eastAsia="ja-JP"/>
              </w:rPr>
              <w:fldChar w:fldCharType="end"/>
            </w:r>
          </w:p>
          <w:p w14:paraId="14AA9FB7"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70BDE6B3"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5000</w:t>
            </w:r>
          </w:p>
        </w:tc>
        <w:tc>
          <w:tcPr>
            <w:tcW w:w="1134" w:type="dxa"/>
            <w:vAlign w:val="center"/>
          </w:tcPr>
          <w:p w14:paraId="40485C3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n.a.</w:t>
            </w:r>
          </w:p>
        </w:tc>
        <w:tc>
          <w:tcPr>
            <w:tcW w:w="1843" w:type="dxa"/>
            <w:vAlign w:val="center"/>
          </w:tcPr>
          <w:p w14:paraId="33064EC5" w14:textId="77777777" w:rsidR="0017170C" w:rsidRPr="000723C2" w:rsidRDefault="0017170C" w:rsidP="00AA0092">
            <w:pPr>
              <w:jc w:val="center"/>
              <w:rPr>
                <w:rFonts w:ascii="Times New Roman" w:eastAsia="MS Mincho" w:hAnsi="Times New Roman"/>
                <w:sz w:val="21"/>
                <w:szCs w:val="21"/>
                <w:lang w:val="en-GB" w:eastAsia="ja-JP"/>
              </w:rPr>
            </w:pPr>
            <w:r w:rsidRPr="000723C2">
              <w:rPr>
                <w:rFonts w:ascii="Times New Roman" w:hAnsi="Times New Roman"/>
                <w:bCs/>
                <w:sz w:val="21"/>
                <w:szCs w:val="21"/>
                <w:lang w:val="en-GB"/>
              </w:rPr>
              <w:t xml:space="preserve">Planar, </w:t>
            </w:r>
            <w:r w:rsidRPr="000723C2">
              <w:rPr>
                <w:rFonts w:ascii="Times New Roman" w:hAnsi="Times New Roman"/>
                <w:sz w:val="21"/>
                <w:szCs w:val="21"/>
                <w:lang w:val="en-GB"/>
              </w:rPr>
              <w:t>two-compartment flow cell, serpentine channels</w:t>
            </w:r>
          </w:p>
        </w:tc>
        <w:tc>
          <w:tcPr>
            <w:tcW w:w="1843" w:type="dxa"/>
            <w:vAlign w:val="center"/>
          </w:tcPr>
          <w:p w14:paraId="1408BC87"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Nafion™ 117</w:t>
            </w:r>
          </w:p>
        </w:tc>
        <w:tc>
          <w:tcPr>
            <w:tcW w:w="1701" w:type="dxa"/>
            <w:vAlign w:val="center"/>
          </w:tcPr>
          <w:p w14:paraId="2E353C2B"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0.9</w:t>
            </w:r>
          </w:p>
        </w:tc>
        <w:tc>
          <w:tcPr>
            <w:tcW w:w="1984" w:type="dxa"/>
            <w:vAlign w:val="center"/>
          </w:tcPr>
          <w:p w14:paraId="4B520F25"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n.a</w:t>
            </w:r>
          </w:p>
        </w:tc>
        <w:tc>
          <w:tcPr>
            <w:tcW w:w="4337" w:type="dxa"/>
            <w:vAlign w:val="center"/>
          </w:tcPr>
          <w:p w14:paraId="261BC9E5"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Continuous flow operation; serpentine channel design; carbon paper electrodes.</w:t>
            </w:r>
          </w:p>
        </w:tc>
      </w:tr>
      <w:tr w:rsidR="000723C2" w:rsidRPr="000723C2" w14:paraId="427F3C69" w14:textId="77777777" w:rsidTr="009A2445">
        <w:tc>
          <w:tcPr>
            <w:tcW w:w="846" w:type="dxa"/>
            <w:vAlign w:val="center"/>
          </w:tcPr>
          <w:p w14:paraId="61471A65" w14:textId="469EDF96"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 </w:t>
            </w: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{"citationItems":[{"id":"ITEM-1","itemData":{"DOI":"10.1038/srep41208","ISSN":"2045-2322","abstract":"This paper reports on a miniaturized microbial fuel cell with a microfluidic flow-through configuration: a porous anolyte chamber is formed by filling a microfluidic chamber with three-dimensional graphene foam as anode, allowing nutritional medium to flow through the chamber to intimately interact with the colonized microbes on the scaffolds of the anode. No nutritional media flow over the anode. This allows sustaining high levels of nutrient utilization, minimizing consumption of nutritional substrates, and reducing response time of electricity generation owing to fast mass transport through pressure-driven flow and rapid diffusion of nutrients within the anode. The device provides a volume power density of 745 μW/cm 3 and a surface power density of 89.4 μW/cm 2 using Shewanella oneidensis as a model biocatalyst without any optimization of bacterial culture. The medium consumption and the response time of the flow-through device are reduced by 16.4 times and 4.2 times, respectively, compared to the non-flow-through counterpart with its freeway space volume six times the volume of graphene foam anode. The graphene foam enabled microfluidic flow-through approach will allow efficient microbial conversion of carbon-containing bioconvertible substrates to electricity with smaller space, less medium consumption, and shorter start-up time.","author":[{"dropping-particle":"","family":"Jiang","given":"Huawei","non-dropping-particle":"","parse-names":false,"suffix":""},{"dropping-particle":"","family":"Ali","given":"Md. Azahar","non-dropping-particle":"","parse-names":false,"suffix":""},{"dropping-particle":"","family":"Xu","given":"Zhen","non-dropping-particle":"","parse-names":false,"suffix":""},{"dropping-particle":"","family":"Halverson","given":"Larry J.","non-dropping-particle":"","parse-names":false,"suffix":""},{"dropping-particle":"","family":"Dong","given":"Liang","non-dropping-particle":"","parse-names":false,"suffix":""}],"container-title":"Scientific Reports","id":"ITEM-1","issue":"1","issued":{"date-parts":[["2017","1","25"]]},"page":"41208","title":"Integrated Microfluidic Flow-Through Microbial Fuel Cells","type":"article-journal","volume":"7"},"uris":["http://www.mendeley.com/documents/?uuid=ba13ee91-c895-4ea2-886a-025642d0f513"]}],"mendeley":{"formattedCitation":"&lt;span style=\"baseline\"&gt;[48]&lt;/span&gt;","plainTextFormattedCitation":"[48]","previouslyFormattedCitation":"&lt;span style=\"baseline\"&gt;[48]&lt;/span&gt;"},"properties":{"noteIndex":0},"schema":"https://github.com/citation-style-language/schema/raw/master/csl-citation.json"}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[48]</w:t>
            </w:r>
            <w:r w:rsidRPr="000723C2">
              <w:rPr>
                <w:rFonts w:ascii="Times New Roman" w:eastAsia="MS Mincho" w:hAnsi="Times New Roman"/>
                <w:b/>
                <w:bCs/>
                <w:szCs w:val="21"/>
                <w:lang w:val="en-GB" w:eastAsia="ja-JP"/>
              </w:rPr>
              <w:fldChar w:fldCharType="end"/>
            </w:r>
          </w:p>
          <w:p w14:paraId="7FCC8E12"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657352A1"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58800</w:t>
            </w:r>
          </w:p>
        </w:tc>
        <w:tc>
          <w:tcPr>
            <w:tcW w:w="1134" w:type="dxa"/>
            <w:vAlign w:val="center"/>
          </w:tcPr>
          <w:p w14:paraId="1435E1B4"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n.a.</w:t>
            </w:r>
          </w:p>
        </w:tc>
        <w:tc>
          <w:tcPr>
            <w:tcW w:w="1843" w:type="dxa"/>
            <w:vAlign w:val="center"/>
          </w:tcPr>
          <w:p w14:paraId="7220697D" w14:textId="77777777" w:rsidR="0017170C" w:rsidRPr="000723C2" w:rsidRDefault="0017170C" w:rsidP="00AA0092">
            <w:pPr>
              <w:jc w:val="center"/>
              <w:rPr>
                <w:rFonts w:ascii="Times New Roman" w:eastAsia="MS Mincho" w:hAnsi="Times New Roman"/>
                <w:sz w:val="21"/>
                <w:szCs w:val="21"/>
                <w:lang w:val="en-GB" w:eastAsia="ja-JP"/>
              </w:rPr>
            </w:pPr>
            <w:r w:rsidRPr="000723C2">
              <w:rPr>
                <w:rFonts w:ascii="Times New Roman" w:hAnsi="Times New Roman"/>
                <w:bCs/>
                <w:sz w:val="21"/>
                <w:szCs w:val="21"/>
                <w:lang w:val="en-GB"/>
              </w:rPr>
              <w:t xml:space="preserve">Microfluidic flow-through </w:t>
            </w:r>
            <w:r w:rsidRPr="000723C2">
              <w:rPr>
                <w:rFonts w:ascii="Times New Roman" w:hAnsi="Times New Roman"/>
                <w:sz w:val="21"/>
                <w:szCs w:val="21"/>
                <w:lang w:val="en-GB"/>
              </w:rPr>
              <w:t>with 3D graphene foam anode</w:t>
            </w:r>
          </w:p>
        </w:tc>
        <w:tc>
          <w:tcPr>
            <w:tcW w:w="1843" w:type="dxa"/>
            <w:vAlign w:val="center"/>
          </w:tcPr>
          <w:p w14:paraId="607BDBF7" w14:textId="77777777" w:rsidR="0017170C" w:rsidRPr="000723C2" w:rsidRDefault="0017170C" w:rsidP="00AA0092">
            <w:pPr>
              <w:jc w:val="center"/>
              <w:rPr>
                <w:rFonts w:ascii="Times New Roman" w:eastAsia="MS Mincho" w:hAnsi="Times New Roman"/>
                <w:sz w:val="21"/>
                <w:szCs w:val="21"/>
                <w:lang w:val="en-GB" w:eastAsia="ja-JP"/>
              </w:rPr>
            </w:pPr>
            <w:r w:rsidRPr="000723C2">
              <w:rPr>
                <w:rFonts w:ascii="Times New Roman" w:hAnsi="Times New Roman"/>
                <w:sz w:val="21"/>
                <w:szCs w:val="21"/>
              </w:rPr>
              <w:t>Nafion™ 117</w:t>
            </w:r>
          </w:p>
        </w:tc>
        <w:tc>
          <w:tcPr>
            <w:tcW w:w="1701" w:type="dxa"/>
            <w:vAlign w:val="center"/>
          </w:tcPr>
          <w:p w14:paraId="0AB280CE" w14:textId="77777777" w:rsidR="0017170C" w:rsidRPr="000723C2" w:rsidRDefault="0017170C" w:rsidP="00AA0092">
            <w:pPr>
              <w:jc w:val="center"/>
              <w:rPr>
                <w:rFonts w:ascii="Times New Roman" w:hAnsi="Times New Roman"/>
                <w:b/>
                <w:bCs/>
                <w:sz w:val="21"/>
                <w:szCs w:val="21"/>
                <w:lang w:val="en-GB"/>
              </w:rPr>
            </w:pPr>
          </w:p>
          <w:p w14:paraId="7D040BCA"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0.745</w:t>
            </w:r>
          </w:p>
        </w:tc>
        <w:tc>
          <w:tcPr>
            <w:tcW w:w="1984" w:type="dxa"/>
            <w:vAlign w:val="center"/>
          </w:tcPr>
          <w:p w14:paraId="1F4543FD" w14:textId="77777777" w:rsidR="0017170C" w:rsidRPr="000723C2" w:rsidRDefault="0017170C" w:rsidP="00AA0092">
            <w:pPr>
              <w:rPr>
                <w:rFonts w:ascii="Times New Roman" w:eastAsia="MS Mincho" w:hAnsi="Times New Roman"/>
                <w:b/>
                <w:bCs/>
                <w:sz w:val="21"/>
                <w:szCs w:val="21"/>
                <w:lang w:val="en-GB" w:eastAsia="ja-JP"/>
              </w:rPr>
            </w:pPr>
          </w:p>
          <w:p w14:paraId="3F4E0146"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n.a.</w:t>
            </w:r>
          </w:p>
        </w:tc>
        <w:tc>
          <w:tcPr>
            <w:tcW w:w="4337" w:type="dxa"/>
            <w:vAlign w:val="center"/>
          </w:tcPr>
          <w:p w14:paraId="2E93B565" w14:textId="77777777" w:rsidR="0017170C" w:rsidRPr="000723C2" w:rsidRDefault="0017170C" w:rsidP="00AA0092">
            <w:pPr>
              <w:jc w:val="center"/>
              <w:rPr>
                <w:rFonts w:ascii="Times New Roman" w:hAnsi="Times New Roman"/>
                <w:b/>
                <w:bCs/>
                <w:sz w:val="21"/>
                <w:szCs w:val="21"/>
                <w:lang w:val="en-GB"/>
              </w:rPr>
            </w:pPr>
            <w:r w:rsidRPr="000723C2">
              <w:rPr>
                <w:rFonts w:ascii="Times New Roman" w:hAnsi="Times New Roman"/>
                <w:bCs/>
                <w:sz w:val="21"/>
                <w:szCs w:val="21"/>
                <w:lang w:val="en-GB"/>
              </w:rPr>
              <w:t>Flow-through anode chamber; 3D graphene foam for intimate microbe interaction;</w:t>
            </w:r>
          </w:p>
          <w:p w14:paraId="73A2AACC"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bCs/>
                <w:sz w:val="21"/>
                <w:szCs w:val="21"/>
                <w:lang w:val="en-GB"/>
              </w:rPr>
              <w:t>fast mass transport.</w:t>
            </w:r>
          </w:p>
        </w:tc>
      </w:tr>
      <w:tr w:rsidR="000723C2" w:rsidRPr="000723C2" w14:paraId="71A8E5A9" w14:textId="77777777" w:rsidTr="009A2445">
        <w:tc>
          <w:tcPr>
            <w:tcW w:w="846" w:type="dxa"/>
            <w:vAlign w:val="center"/>
          </w:tcPr>
          <w:p w14:paraId="263D5BFE"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{"citationItems":[{"id":"ITEM-1","itemData":{"DOI":"10.1021/nl203801h","ISSN":"1530-6984","author":[{"dropping-particle":"","family":"Mink","given":"Justine E.","non-dropping-particle":"","parse-names":false,"suffix":""},{"dropping-particle":"","family":"Rojas","given":"Jhonathan P.","non-dropping-particle":"","parse-names":false,"suffix":""},{"dropping-particle":"","family":"Logan","given":"Bruce E.","non-dropping-particle":"","parse-names":false,"suffix":""},{"dropping-particle":"","family":"Hussain","given":"Muhammad M.","non-dropping-particle":"","parse-names":false,"suffix":""}],"container-title":"Nano Letters","id":"ITEM-1","issue":"2","issued":{"date-parts":[["2012","2","8"]]},"page":"791-795","title":"Vertically Grown Multiwalled Carbon Nanotube Anode and Nickel Silicide Integrated High Performance Microsized (1.25 μL) Microbial Fuel Cell","type":"article-journal","volume":"12"},"uris":["http://www.mendeley.com/documents/?uuid=e96e7fc8-bd52-4a4e-8abe-e2db2ccb665c"]}],"mendeley":{"formattedCitation":"&lt;span style=\"baseline\"&gt;[49]&lt;/span&gt;","plainTextFormattedCitation":"[49]","previouslyFormattedCitation":"&lt;span style=\"baseline\"&gt;[49]&lt;/span&gt;"},"properties":{"noteIndex":0},"schema":"https://github.com/citation-style-language/schema/raw/master/csl-citation.json"}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[49]</w:t>
            </w:r>
            <w:r w:rsidRPr="000723C2">
              <w:rPr>
                <w:rFonts w:ascii="Times New Roman" w:eastAsia="MS Mincho" w:hAnsi="Times New Roman"/>
                <w:b/>
                <w:bCs/>
                <w:szCs w:val="21"/>
                <w:lang w:val="en-GB" w:eastAsia="ja-JP"/>
              </w:rPr>
              <w:fldChar w:fldCharType="end"/>
            </w:r>
          </w:p>
          <w:p w14:paraId="1AFEDC91"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3E60707B"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1250</w:t>
            </w:r>
          </w:p>
        </w:tc>
        <w:tc>
          <w:tcPr>
            <w:tcW w:w="1134" w:type="dxa"/>
            <w:vAlign w:val="center"/>
          </w:tcPr>
          <w:p w14:paraId="14C7F54E"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n.a.</w:t>
            </w:r>
          </w:p>
        </w:tc>
        <w:tc>
          <w:tcPr>
            <w:tcW w:w="1843" w:type="dxa"/>
            <w:vAlign w:val="center"/>
          </w:tcPr>
          <w:p w14:paraId="561A63E9"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bCs/>
                <w:sz w:val="21"/>
                <w:szCs w:val="21"/>
                <w:lang w:val="en-GB"/>
              </w:rPr>
              <w:t>Planar, Si-based with vertical CNT anode</w:t>
            </w:r>
          </w:p>
        </w:tc>
        <w:tc>
          <w:tcPr>
            <w:tcW w:w="1843" w:type="dxa"/>
            <w:vAlign w:val="center"/>
          </w:tcPr>
          <w:p w14:paraId="4D77D2C9"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Nafion™ 117</w:t>
            </w:r>
          </w:p>
        </w:tc>
        <w:tc>
          <w:tcPr>
            <w:tcW w:w="1701" w:type="dxa"/>
            <w:vAlign w:val="center"/>
          </w:tcPr>
          <w:p w14:paraId="08DE4D81" w14:textId="77777777" w:rsidR="0017170C" w:rsidRPr="000723C2" w:rsidRDefault="0017170C" w:rsidP="00AA0092">
            <w:pPr>
              <w:jc w:val="center"/>
              <w:rPr>
                <w:rFonts w:ascii="Times New Roman" w:hAnsi="Times New Roman"/>
                <w:b/>
                <w:sz w:val="21"/>
                <w:szCs w:val="21"/>
                <w:lang w:val="en-GB"/>
              </w:rPr>
            </w:pPr>
          </w:p>
          <w:p w14:paraId="534FF13B"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0.392</w:t>
            </w:r>
          </w:p>
        </w:tc>
        <w:tc>
          <w:tcPr>
            <w:tcW w:w="1984" w:type="dxa"/>
            <w:vAlign w:val="center"/>
          </w:tcPr>
          <w:p w14:paraId="3CE63415" w14:textId="77777777" w:rsidR="0017170C" w:rsidRPr="000723C2" w:rsidRDefault="0017170C" w:rsidP="00AA0092">
            <w:pPr>
              <w:rPr>
                <w:rFonts w:ascii="Times New Roman" w:eastAsia="MS Mincho" w:hAnsi="Times New Roman"/>
                <w:b/>
                <w:sz w:val="21"/>
                <w:szCs w:val="21"/>
                <w:lang w:val="en-GB" w:eastAsia="ja-JP"/>
              </w:rPr>
            </w:pPr>
          </w:p>
          <w:p w14:paraId="6668E6B0"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n.a.</w:t>
            </w:r>
          </w:p>
        </w:tc>
        <w:tc>
          <w:tcPr>
            <w:tcW w:w="4337" w:type="dxa"/>
            <w:vAlign w:val="center"/>
          </w:tcPr>
          <w:p w14:paraId="6166DEB4" w14:textId="77777777" w:rsidR="0017170C" w:rsidRPr="000723C2" w:rsidRDefault="0017170C" w:rsidP="00AA0092">
            <w:pPr>
              <w:jc w:val="center"/>
              <w:rPr>
                <w:rFonts w:ascii="Times New Roman" w:hAnsi="Times New Roman"/>
                <w:b/>
                <w:sz w:val="21"/>
                <w:szCs w:val="21"/>
                <w:lang w:val="en-GB"/>
              </w:rPr>
            </w:pPr>
            <w:r w:rsidRPr="000723C2">
              <w:rPr>
                <w:rFonts w:ascii="Times New Roman" w:hAnsi="Times New Roman"/>
                <w:sz w:val="21"/>
                <w:szCs w:val="21"/>
                <w:lang w:val="en-GB"/>
              </w:rPr>
              <w:t>High surface-area vertically aligned carbon nanotubes anode; compact total anolyte volume</w:t>
            </w:r>
          </w:p>
          <w:p w14:paraId="427A8764"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lang w:val="en-GB"/>
              </w:rPr>
              <w:t>(1.25 µL).</w:t>
            </w:r>
          </w:p>
        </w:tc>
      </w:tr>
      <w:tr w:rsidR="000723C2" w:rsidRPr="000723C2" w14:paraId="615EDBB7" w14:textId="77777777" w:rsidTr="009A2445">
        <w:tc>
          <w:tcPr>
            <w:tcW w:w="846" w:type="dxa"/>
            <w:vAlign w:val="center"/>
          </w:tcPr>
          <w:p w14:paraId="777F7888" w14:textId="57F46890"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 xml:space="preserve"> </w:t>
            </w:r>
            <w:r w:rsidRPr="000723C2">
              <w:rPr>
                <w:rFonts w:ascii="Times New Roman" w:eastAsia="MS Mincho" w:hAnsi="Times New Roman"/>
                <w:b/>
                <w:bCs/>
                <w:szCs w:val="21"/>
                <w:lang w:val="en-GB" w:eastAsia="ja-JP"/>
              </w:rPr>
              <w:fldChar w:fldCharType="begin" w:fldLock="1"/>
            </w:r>
            <w:r w:rsidRPr="000723C2">
              <w:rPr>
                <w:rFonts w:ascii="Times New Roman" w:eastAsia="MS Mincho" w:hAnsi="Times New Roman"/>
                <w:bCs/>
                <w:sz w:val="21"/>
                <w:szCs w:val="21"/>
                <w:lang w:val="en-GB" w:eastAsia="ja-JP"/>
              </w:rPr>
              <w:instrText>ADDIN CSL_CITATION {"citationItems":[{"id":"ITEM-1","itemData":{"DOI":"10.3390/mi11070703","ISSN":"2072-666X","abstract":"Microbial Fuel Cells (MFCs) are biological fuel cells based on the oxidation of fuels by electrogenic bacteria to generate an electric current in electrochemical cells. There are several methods that can be employed to improve their performance. In this study, the effects of gold surface modification with different thiol molecules were investigated for their implementation as anode electrodes in micro-scale MFCs (µMFCs). Several double-chamber µMFCs with 10.4 µL anode and cathode chambers were fabricated using silicon-microelectromechanical systems (MEMS) fabrication technology. µMFC systems assembled with modified gold anodes were operated under anaerobic conditions with the continuous feeding of anolyte and catholyte to compare the effect of different thiol molecules on the biofilm formation of Shewanella oneidensis MR-1. Performances were evaluated using polarization curves, Electrochemical Impedance Spectroscopy (EIS), and Scanning Electron Microcopy (SEM). The results showed that µMFCs modified with thiol self-assembled monolayers (SAMs) (cysteamine and 11-MUA) resulted in more than a 50% reduction in start-up times due to better bacterial attachment on the anode surface. Both 11-MUA and cysteamine modifications resulted in dense biofilms, as observed in SEM images. The power output was found to be similar in cysteamine-modified and bare gold µMFCs. The power and current densities obtained in this study were comparable to those reported in similar studies in the literature.","author":[{"dropping-particle":"","family":"Şen-Doğan","given":"Begüm","non-dropping-particle":"","parse-names":false,"suffix":""},{"dropping-particle":"","family":"Okan","given":"Meltem","non-dropping-particle":"","parse-names":false,"suffix":""},{"dropping-particle":"","family":"Afşar-Erkal","given":"Nilüfer","non-dropping-particle":"","parse-names":false,"suffix":""},{"dropping-particle":"","family":"Özgür","given":"Ebru","non-dropping-particle":"","parse-names":false,"suffix":""},{"dropping-particle":"","family":"Zorlu","given":"Özge","non-dropping-particle":"","parse-names":false,"suffix":""},{"dropping-particle":"","family":"Külah","given":"Haluk","non-dropping-particle":"","parse-names":false,"suffix":""}],"container-title":"Micromachines","id":"ITEM-1","issue":"7","issued":{"date-parts":[["2020","7","21"]]},"page":"703","title":"Enhancement of the Start-Up Time for Microliter-Scale Microbial Fuel Cells (µMFCs) via the Surface Modification of Gold Electrodes","type":"article-journal","volume":"11"},"uris":["http://www.mendeley.com/documents/?uuid=6acf9d4a-c2cf-4474-bc52-0c247f7a0e4c"]}],"mendeley":{"formattedCitation":"&lt;span style=\"baseline\"&gt;[50]&lt;/span&gt;","plainTextFormattedCitation":"[50]","previouslyFormattedCitation":"&lt;span style=\"baseline\"&gt;[50]&lt;/span&gt;"},"properties":{"noteIndex":0},"schema":"https://github.com/citation-style-language/schema/raw/master/csl-citation.json"}</w:instrText>
            </w:r>
            <w:r w:rsidRPr="000723C2">
              <w:rPr>
                <w:rFonts w:ascii="Times New Roman" w:eastAsia="MS Mincho" w:hAnsi="Times New Roman"/>
                <w:b/>
                <w:bCs/>
                <w:szCs w:val="21"/>
                <w:lang w:val="en-GB" w:eastAsia="ja-JP"/>
              </w:rPr>
              <w:fldChar w:fldCharType="separate"/>
            </w:r>
            <w:r w:rsidRPr="000723C2">
              <w:rPr>
                <w:rFonts w:ascii="Times New Roman" w:eastAsia="MS Mincho" w:hAnsi="Times New Roman"/>
                <w:bCs/>
                <w:noProof/>
                <w:sz w:val="21"/>
                <w:szCs w:val="21"/>
                <w:lang w:val="en-GB" w:eastAsia="ja-JP"/>
              </w:rPr>
              <w:t>[50]</w:t>
            </w:r>
            <w:r w:rsidRPr="000723C2">
              <w:rPr>
                <w:rFonts w:ascii="Times New Roman" w:eastAsia="MS Mincho" w:hAnsi="Times New Roman"/>
                <w:b/>
                <w:bCs/>
                <w:szCs w:val="21"/>
                <w:lang w:val="en-GB" w:eastAsia="ja-JP"/>
              </w:rPr>
              <w:fldChar w:fldCharType="end"/>
            </w:r>
          </w:p>
          <w:p w14:paraId="703FE839" w14:textId="77777777" w:rsidR="0017170C" w:rsidRPr="000723C2" w:rsidRDefault="0017170C" w:rsidP="00AA0092">
            <w:pPr>
              <w:jc w:val="center"/>
              <w:rPr>
                <w:rFonts w:ascii="Times New Roman" w:eastAsia="MS Mincho" w:hAnsi="Times New Roman"/>
                <w:b/>
                <w:bCs/>
                <w:sz w:val="21"/>
                <w:szCs w:val="21"/>
                <w:lang w:val="en-GB" w:eastAsia="ja-JP"/>
              </w:rPr>
            </w:pPr>
          </w:p>
        </w:tc>
        <w:tc>
          <w:tcPr>
            <w:tcW w:w="992" w:type="dxa"/>
            <w:vAlign w:val="center"/>
          </w:tcPr>
          <w:p w14:paraId="5EBCC56C"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10400</w:t>
            </w:r>
          </w:p>
        </w:tc>
        <w:tc>
          <w:tcPr>
            <w:tcW w:w="1134" w:type="dxa"/>
            <w:vAlign w:val="center"/>
          </w:tcPr>
          <w:p w14:paraId="0AEE9DAC"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20800</w:t>
            </w:r>
          </w:p>
        </w:tc>
        <w:tc>
          <w:tcPr>
            <w:tcW w:w="1843" w:type="dxa"/>
            <w:vAlign w:val="center"/>
          </w:tcPr>
          <w:p w14:paraId="7F23965D"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hAnsi="Times New Roman"/>
                <w:bCs/>
                <w:sz w:val="21"/>
                <w:szCs w:val="21"/>
              </w:rPr>
              <w:t>Planar MEMS</w:t>
            </w:r>
            <w:r w:rsidRPr="000723C2">
              <w:rPr>
                <w:rFonts w:ascii="Times New Roman" w:hAnsi="Times New Roman"/>
                <w:sz w:val="21"/>
                <w:szCs w:val="21"/>
              </w:rPr>
              <w:t>, silicon double-chamber</w:t>
            </w:r>
          </w:p>
        </w:tc>
        <w:tc>
          <w:tcPr>
            <w:tcW w:w="1843" w:type="dxa"/>
            <w:vAlign w:val="center"/>
          </w:tcPr>
          <w:p w14:paraId="134C678C"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hAnsi="Times New Roman"/>
                <w:sz w:val="21"/>
                <w:szCs w:val="21"/>
              </w:rPr>
              <w:t>Nafion™ 117</w:t>
            </w:r>
          </w:p>
        </w:tc>
        <w:tc>
          <w:tcPr>
            <w:tcW w:w="1701" w:type="dxa"/>
            <w:vAlign w:val="center"/>
          </w:tcPr>
          <w:p w14:paraId="752D1FC7"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0.315 and 0.33</w:t>
            </w:r>
          </w:p>
        </w:tc>
        <w:tc>
          <w:tcPr>
            <w:tcW w:w="1984" w:type="dxa"/>
            <w:vAlign w:val="center"/>
          </w:tcPr>
          <w:p w14:paraId="5F28FECA"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0.156 and 0.165</w:t>
            </w:r>
          </w:p>
        </w:tc>
        <w:tc>
          <w:tcPr>
            <w:tcW w:w="4337" w:type="dxa"/>
            <w:vAlign w:val="center"/>
          </w:tcPr>
          <w:p w14:paraId="42C381FF" w14:textId="77777777" w:rsidR="0017170C" w:rsidRPr="000723C2" w:rsidRDefault="0017170C" w:rsidP="00AA0092">
            <w:pPr>
              <w:jc w:val="center"/>
              <w:rPr>
                <w:rFonts w:ascii="Times New Roman" w:eastAsia="MS Mincho" w:hAnsi="Times New Roman"/>
                <w:b/>
                <w:sz w:val="21"/>
                <w:szCs w:val="21"/>
                <w:lang w:val="en-GB" w:eastAsia="ja-JP"/>
              </w:rPr>
            </w:pPr>
            <w:r w:rsidRPr="000723C2">
              <w:rPr>
                <w:rFonts w:ascii="Times New Roman" w:eastAsia="MS Mincho" w:hAnsi="Times New Roman"/>
                <w:sz w:val="21"/>
                <w:szCs w:val="21"/>
                <w:lang w:val="en-GB" w:eastAsia="ja-JP"/>
              </w:rPr>
              <w:t>Focus on anode surface modification (thiol SAMs) to reduce start-up time.</w:t>
            </w:r>
          </w:p>
        </w:tc>
      </w:tr>
      <w:tr w:rsidR="000723C2" w:rsidRPr="000723C2" w14:paraId="59675DBF" w14:textId="77777777" w:rsidTr="009A2445">
        <w:tc>
          <w:tcPr>
            <w:tcW w:w="846" w:type="dxa"/>
            <w:vAlign w:val="center"/>
          </w:tcPr>
          <w:p w14:paraId="0F1FF1A5"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This work</w:t>
            </w:r>
          </w:p>
        </w:tc>
        <w:tc>
          <w:tcPr>
            <w:tcW w:w="992" w:type="dxa"/>
            <w:vAlign w:val="center"/>
          </w:tcPr>
          <w:p w14:paraId="57860B93"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550</w:t>
            </w:r>
          </w:p>
          <w:p w14:paraId="4C76EEED" w14:textId="77777777" w:rsidR="0017170C" w:rsidRPr="000723C2" w:rsidRDefault="0017170C" w:rsidP="00AA0092">
            <w:pPr>
              <w:jc w:val="center"/>
              <w:rPr>
                <w:rFonts w:ascii="Times New Roman" w:eastAsia="MS Mincho" w:hAnsi="Times New Roman"/>
                <w:b/>
                <w:bCs/>
                <w:sz w:val="21"/>
                <w:szCs w:val="21"/>
                <w:lang w:val="en-GB" w:eastAsia="ja-JP"/>
              </w:rPr>
            </w:pPr>
          </w:p>
        </w:tc>
        <w:tc>
          <w:tcPr>
            <w:tcW w:w="1134" w:type="dxa"/>
            <w:vAlign w:val="center"/>
          </w:tcPr>
          <w:p w14:paraId="09B8E2DA"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800</w:t>
            </w:r>
          </w:p>
          <w:p w14:paraId="14E37620" w14:textId="77777777" w:rsidR="0017170C" w:rsidRPr="000723C2" w:rsidRDefault="0017170C" w:rsidP="00AA0092">
            <w:pPr>
              <w:jc w:val="center"/>
              <w:rPr>
                <w:rFonts w:ascii="Times New Roman" w:eastAsia="MS Mincho" w:hAnsi="Times New Roman"/>
                <w:b/>
                <w:bCs/>
                <w:sz w:val="21"/>
                <w:szCs w:val="21"/>
                <w:lang w:val="en-GB" w:eastAsia="ja-JP"/>
              </w:rPr>
            </w:pPr>
          </w:p>
        </w:tc>
        <w:tc>
          <w:tcPr>
            <w:tcW w:w="1843" w:type="dxa"/>
            <w:vAlign w:val="center"/>
          </w:tcPr>
          <w:p w14:paraId="7537748D" w14:textId="77777777" w:rsidR="0017170C" w:rsidRPr="000723C2" w:rsidRDefault="0017170C" w:rsidP="00AA0092">
            <w:pPr>
              <w:jc w:val="center"/>
              <w:rPr>
                <w:rFonts w:ascii="Times New Roman" w:eastAsia="MS Mincho" w:hAnsi="Times New Roman"/>
                <w:sz w:val="21"/>
                <w:szCs w:val="21"/>
                <w:lang w:val="en-GB" w:eastAsia="ja-JP"/>
              </w:rPr>
            </w:pPr>
            <w:r w:rsidRPr="000723C2">
              <w:rPr>
                <w:rStyle w:val="Strong"/>
                <w:rFonts w:ascii="Times New Roman" w:hAnsi="Times New Roman"/>
                <w:sz w:val="21"/>
                <w:szCs w:val="21"/>
                <w:lang w:val="en-GB"/>
              </w:rPr>
              <w:t>Coaxial Swiss-roll, strain-driven self-assembly</w:t>
            </w:r>
          </w:p>
        </w:tc>
        <w:tc>
          <w:tcPr>
            <w:tcW w:w="1843" w:type="dxa"/>
            <w:vAlign w:val="center"/>
          </w:tcPr>
          <w:p w14:paraId="6B7F37A3" w14:textId="77777777" w:rsidR="0017170C" w:rsidRPr="000723C2" w:rsidRDefault="0017170C" w:rsidP="00AA0092">
            <w:pPr>
              <w:jc w:val="center"/>
              <w:rPr>
                <w:rFonts w:ascii="Times New Roman" w:eastAsia="MS Mincho" w:hAnsi="Times New Roman"/>
                <w:sz w:val="21"/>
                <w:szCs w:val="21"/>
                <w:lang w:val="en-GB" w:eastAsia="ja-JP"/>
              </w:rPr>
            </w:pPr>
            <w:r w:rsidRPr="000723C2">
              <w:rPr>
                <w:rStyle w:val="Strong"/>
                <w:rFonts w:ascii="Times New Roman" w:hAnsi="Times New Roman"/>
                <w:sz w:val="21"/>
                <w:szCs w:val="21"/>
              </w:rPr>
              <w:t>Tunable Polyimide</w:t>
            </w:r>
          </w:p>
        </w:tc>
        <w:tc>
          <w:tcPr>
            <w:tcW w:w="1701" w:type="dxa"/>
            <w:vAlign w:val="center"/>
          </w:tcPr>
          <w:p w14:paraId="0A865025" w14:textId="77777777" w:rsidR="0017170C" w:rsidRPr="000723C2" w:rsidRDefault="0017170C" w:rsidP="00AA0092">
            <w:pPr>
              <w:jc w:val="center"/>
              <w:rPr>
                <w:rStyle w:val="Strong"/>
                <w:rFonts w:ascii="Times New Roman" w:hAnsi="Times New Roman"/>
                <w:sz w:val="21"/>
                <w:szCs w:val="21"/>
                <w:lang w:val="en-GB"/>
              </w:rPr>
            </w:pPr>
            <w:r w:rsidRPr="000723C2">
              <w:rPr>
                <w:rStyle w:val="Strong"/>
                <w:rFonts w:ascii="Times New Roman" w:hAnsi="Times New Roman"/>
                <w:sz w:val="21"/>
                <w:szCs w:val="21"/>
                <w:lang w:val="en-GB"/>
              </w:rPr>
              <w:t>3.1</w:t>
            </w:r>
          </w:p>
          <w:p w14:paraId="5DBD4C85" w14:textId="77777777" w:rsidR="0017170C" w:rsidRPr="000723C2" w:rsidRDefault="0017170C" w:rsidP="00AA0092">
            <w:pPr>
              <w:jc w:val="center"/>
              <w:rPr>
                <w:rFonts w:ascii="Times New Roman" w:eastAsia="MS Mincho" w:hAnsi="Times New Roman"/>
                <w:sz w:val="21"/>
                <w:szCs w:val="21"/>
                <w:lang w:val="en-GB" w:eastAsia="ja-JP"/>
              </w:rPr>
            </w:pPr>
          </w:p>
        </w:tc>
        <w:tc>
          <w:tcPr>
            <w:tcW w:w="1984" w:type="dxa"/>
            <w:vAlign w:val="center"/>
          </w:tcPr>
          <w:p w14:paraId="422D632E" w14:textId="77777777" w:rsidR="0017170C" w:rsidRPr="000723C2" w:rsidRDefault="0017170C" w:rsidP="00AA0092">
            <w:pPr>
              <w:jc w:val="center"/>
              <w:rPr>
                <w:rFonts w:ascii="Times New Roman" w:eastAsia="MS Mincho" w:hAnsi="Times New Roman"/>
                <w:b/>
                <w:bCs/>
                <w:sz w:val="21"/>
                <w:szCs w:val="21"/>
                <w:lang w:val="en-GB" w:eastAsia="ja-JP"/>
              </w:rPr>
            </w:pPr>
            <w:r w:rsidRPr="000723C2">
              <w:rPr>
                <w:rFonts w:ascii="Times New Roman" w:eastAsia="MS Mincho" w:hAnsi="Times New Roman"/>
                <w:bCs/>
                <w:sz w:val="21"/>
                <w:szCs w:val="21"/>
                <w:lang w:val="en-GB" w:eastAsia="ja-JP"/>
              </w:rPr>
              <w:t>2.1</w:t>
            </w:r>
          </w:p>
          <w:p w14:paraId="6242C5E2" w14:textId="77777777" w:rsidR="0017170C" w:rsidRPr="000723C2" w:rsidRDefault="0017170C" w:rsidP="00AA0092">
            <w:pPr>
              <w:jc w:val="center"/>
              <w:rPr>
                <w:rFonts w:ascii="Times New Roman" w:eastAsia="MS Mincho" w:hAnsi="Times New Roman"/>
                <w:sz w:val="21"/>
                <w:szCs w:val="21"/>
                <w:lang w:val="en-GB" w:eastAsia="ja-JP"/>
              </w:rPr>
            </w:pPr>
          </w:p>
        </w:tc>
        <w:tc>
          <w:tcPr>
            <w:tcW w:w="4337" w:type="dxa"/>
            <w:vAlign w:val="center"/>
          </w:tcPr>
          <w:p w14:paraId="36AE57B4" w14:textId="77777777" w:rsidR="0017170C" w:rsidRPr="000723C2" w:rsidRDefault="0017170C" w:rsidP="00AA0092">
            <w:pPr>
              <w:jc w:val="center"/>
              <w:rPr>
                <w:rFonts w:ascii="Times New Roman" w:eastAsia="MS Mincho" w:hAnsi="Times New Roman"/>
                <w:sz w:val="21"/>
                <w:szCs w:val="21"/>
                <w:lang w:val="en-GB" w:eastAsia="ja-JP"/>
              </w:rPr>
            </w:pPr>
            <w:r w:rsidRPr="000723C2">
              <w:rPr>
                <w:rStyle w:val="Strong"/>
                <w:rFonts w:ascii="Times New Roman" w:hAnsi="Times New Roman"/>
                <w:sz w:val="21"/>
                <w:szCs w:val="21"/>
                <w:lang w:val="en-GB"/>
              </w:rPr>
              <w:t>Coaxial channels; integrated &amp; tunable PEM; dual-mode operation; monolithic 3D integration.</w:t>
            </w:r>
          </w:p>
        </w:tc>
      </w:tr>
    </w:tbl>
    <w:p w14:paraId="6D843B8E" w14:textId="77777777" w:rsidR="0017170C" w:rsidRPr="000723C2" w:rsidRDefault="0017170C" w:rsidP="00640FB7">
      <w:pPr>
        <w:spacing w:before="120" w:after="120"/>
        <w:rPr>
          <w:rFonts w:ascii="Times New Roman" w:eastAsia="MS Mincho" w:hAnsi="Times New Roman"/>
          <w:sz w:val="24"/>
          <w:lang w:val="en-GB" w:eastAsia="ja-JP"/>
        </w:rPr>
        <w:sectPr w:rsidR="0017170C" w:rsidRPr="000723C2" w:rsidSect="00282BCD">
          <w:pgSz w:w="16838" w:h="11906" w:orient="landscape"/>
          <w:pgMar w:top="1417" w:right="1417" w:bottom="1417" w:left="1134" w:header="708" w:footer="708" w:gutter="0"/>
          <w:cols w:space="708"/>
          <w:docGrid w:linePitch="360"/>
        </w:sectPr>
      </w:pPr>
    </w:p>
    <w:p w14:paraId="1C0BB0BE" w14:textId="77777777" w:rsidR="00AA0092" w:rsidRPr="000723C2" w:rsidRDefault="00AA0092" w:rsidP="00640FB7">
      <w:pPr>
        <w:spacing w:before="120" w:after="120"/>
        <w:rPr>
          <w:rFonts w:ascii="Times New Roman" w:eastAsia="MS Mincho" w:hAnsi="Times New Roman"/>
          <w:sz w:val="24"/>
          <w:lang w:val="en-GB" w:eastAsia="ja-JP"/>
        </w:rPr>
      </w:pPr>
    </w:p>
    <w:p w14:paraId="0DF35292" w14:textId="77777777" w:rsidR="00AA0092" w:rsidRPr="000723C2" w:rsidRDefault="00AA0092" w:rsidP="00640FB7">
      <w:pPr>
        <w:spacing w:before="120" w:after="120"/>
        <w:rPr>
          <w:rFonts w:ascii="Times New Roman" w:eastAsia="MS Mincho" w:hAnsi="Times New Roman"/>
          <w:sz w:val="24"/>
          <w:lang w:val="en-GB" w:eastAsia="ja-JP"/>
        </w:rPr>
      </w:pPr>
    </w:p>
    <w:p w14:paraId="5C9FD23F" w14:textId="77777777" w:rsidR="00AA0092" w:rsidRPr="000723C2" w:rsidRDefault="00AA0092" w:rsidP="00640FB7">
      <w:pPr>
        <w:spacing w:before="120" w:after="120"/>
        <w:rPr>
          <w:rFonts w:ascii="Times New Roman" w:eastAsia="MS Mincho" w:hAnsi="Times New Roman"/>
          <w:sz w:val="24"/>
          <w:lang w:val="en-GB" w:eastAsia="ja-JP"/>
        </w:rPr>
      </w:pPr>
    </w:p>
    <w:p w14:paraId="348F401A" w14:textId="4AB353BA" w:rsidR="0017170C" w:rsidRPr="000723C2" w:rsidRDefault="0017170C" w:rsidP="00640FB7">
      <w:pPr>
        <w:spacing w:before="120" w:after="120"/>
        <w:rPr>
          <w:rFonts w:ascii="Times New Roman" w:eastAsia="MS Mincho" w:hAnsi="Times New Roman"/>
          <w:sz w:val="24"/>
          <w:lang w:val="en-GB" w:eastAsia="ja-JP"/>
        </w:rPr>
      </w:pPr>
      <w:r w:rsidRPr="000723C2">
        <w:rPr>
          <w:noProof/>
          <w:lang w:val="en-IN" w:eastAsia="en-IN"/>
          <w14:ligatures w14:val="standardContextual"/>
        </w:rPr>
        <w:drawing>
          <wp:inline distT="0" distB="0" distL="0" distR="0" wp14:anchorId="1D68C92E" wp14:editId="15D7BF7F">
            <wp:extent cx="5843219" cy="3930555"/>
            <wp:effectExtent l="0" t="0" r="5715" b="0"/>
            <wp:docPr id="16248707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5500" cy="3938816"/>
                    </a:xfrm>
                    <a:prstGeom prst="rect">
                      <a:avLst/>
                    </a:prstGeom>
                    <a:noFill/>
                    <a:ln>
                      <a:noFill/>
                    </a:ln>
                  </pic:spPr>
                </pic:pic>
              </a:graphicData>
            </a:graphic>
          </wp:inline>
        </w:drawing>
      </w:r>
    </w:p>
    <w:p w14:paraId="769AEA4D" w14:textId="77777777" w:rsidR="0017170C" w:rsidRPr="000723C2" w:rsidRDefault="0017170C" w:rsidP="00640FB7">
      <w:pPr>
        <w:spacing w:before="120" w:after="120"/>
        <w:rPr>
          <w:rFonts w:ascii="Times New Roman" w:hAnsi="Times New Roman"/>
          <w:b/>
          <w:sz w:val="24"/>
          <w:lang w:val="en-GB"/>
        </w:rPr>
      </w:pPr>
      <w:r w:rsidRPr="000723C2">
        <w:rPr>
          <w:rFonts w:ascii="Times New Roman" w:hAnsi="Times New Roman"/>
          <w:b/>
          <w:bCs/>
          <w:sz w:val="24"/>
          <w:lang w:val="en-GB"/>
        </w:rPr>
        <w:t>Fig. S1</w:t>
      </w:r>
      <w:r w:rsidRPr="000723C2">
        <w:rPr>
          <w:rFonts w:ascii="Times New Roman" w:hAnsi="Times New Roman"/>
          <w:sz w:val="24"/>
          <w:lang w:val="en-GB"/>
        </w:rPr>
        <w:t xml:space="preserve"> Fabrication process and structural layout of the coaxial Swiss-roll device. </w:t>
      </w:r>
      <w:r w:rsidRPr="000723C2">
        <w:rPr>
          <w:rFonts w:ascii="Times New Roman" w:hAnsi="Times New Roman"/>
          <w:bCs/>
          <w:sz w:val="24"/>
          <w:lang w:val="en-GB"/>
        </w:rPr>
        <w:t>a</w:t>
      </w:r>
      <w:r w:rsidRPr="000723C2">
        <w:rPr>
          <w:rFonts w:ascii="Times New Roman" w:hAnsi="Times New Roman"/>
          <w:sz w:val="24"/>
          <w:lang w:val="en-GB"/>
        </w:rPr>
        <w:t xml:space="preserve"> Sequential thin-film deposition on a glass substrate, including sacrificial layer (SL), polyimide (PI), hydrogel (HG), bottom electrode (BE), top electrode (TE), and structural polymer (SP). Low panel: Cross-sectional schematic of the polymer stack with representative thicknesses: SL (~500 nm), PI (~500 nm, optional), HG (~950 nm), BE (Cr 10 nm / Au 90 nm), PI (~1.3 µm), TE (Cr 10 nm / Au 90 nm), and SP (~40 µm). Scale bars: 100 µm, 2 mm, and 500 µm. Right panel: schematic layout of polymeric SL/HG/PI stack layers. </w:t>
      </w:r>
      <w:r w:rsidRPr="000723C2">
        <w:rPr>
          <w:rFonts w:ascii="Times New Roman" w:hAnsi="Times New Roman"/>
          <w:bCs/>
          <w:sz w:val="24"/>
          <w:lang w:val="en-GB"/>
        </w:rPr>
        <w:t xml:space="preserve">b </w:t>
      </w:r>
      <w:r w:rsidRPr="000723C2">
        <w:rPr>
          <w:rFonts w:ascii="Times New Roman" w:hAnsi="Times New Roman"/>
          <w:sz w:val="24"/>
          <w:lang w:val="en-GB"/>
        </w:rPr>
        <w:t>Profilometry characterization with 3D map</w:t>
      </w:r>
      <w:r w:rsidRPr="000723C2">
        <w:rPr>
          <w:rFonts w:ascii="Times New Roman" w:hAnsi="Times New Roman"/>
          <w:bCs/>
          <w:sz w:val="24"/>
          <w:lang w:val="en-GB"/>
        </w:rPr>
        <w:t xml:space="preserve"> </w:t>
      </w:r>
      <w:r w:rsidRPr="000723C2">
        <w:rPr>
          <w:rFonts w:ascii="Times New Roman" w:hAnsi="Times New Roman"/>
          <w:sz w:val="24"/>
          <w:lang w:val="en-GB"/>
        </w:rPr>
        <w:t xml:space="preserve">of SL/HG/PI polymeric stack. </w:t>
      </w:r>
      <w:r w:rsidRPr="000723C2">
        <w:rPr>
          <w:rFonts w:ascii="Times New Roman" w:hAnsi="Times New Roman"/>
          <w:bCs/>
          <w:sz w:val="24"/>
          <w:lang w:val="en-GB"/>
        </w:rPr>
        <w:t>c</w:t>
      </w:r>
      <w:r w:rsidRPr="000723C2">
        <w:rPr>
          <w:rFonts w:ascii="Times New Roman" w:hAnsi="Times New Roman"/>
          <w:sz w:val="24"/>
          <w:lang w:val="en-GB"/>
        </w:rPr>
        <w:t xml:space="preserve"> </w:t>
      </w:r>
      <w:r w:rsidRPr="000723C2">
        <w:rPr>
          <w:rFonts w:ascii="Times New Roman" w:hAnsi="Times New Roman"/>
          <w:bCs/>
          <w:sz w:val="24"/>
          <w:lang w:val="en-GB"/>
        </w:rPr>
        <w:t xml:space="preserve"> </w:t>
      </w:r>
      <w:r w:rsidRPr="000723C2">
        <w:rPr>
          <w:rFonts w:ascii="Times New Roman" w:hAnsi="Times New Roman"/>
          <w:sz w:val="24"/>
          <w:lang w:val="en-GB"/>
        </w:rPr>
        <w:t xml:space="preserve">Self-rolling mechanism: selective dissolution of the SL combined with HG swelling induces strain mismatch within the multilayer stack, resulting in autonomous tubular formation. </w:t>
      </w:r>
      <w:r w:rsidRPr="000723C2">
        <w:rPr>
          <w:rFonts w:ascii="Times New Roman" w:hAnsi="Times New Roman"/>
          <w:bCs/>
          <w:sz w:val="24"/>
          <w:lang w:val="en-GB"/>
        </w:rPr>
        <w:t>d</w:t>
      </w:r>
      <w:r w:rsidRPr="000723C2">
        <w:rPr>
          <w:rFonts w:ascii="Times New Roman" w:hAnsi="Times New Roman"/>
          <w:sz w:val="24"/>
          <w:lang w:val="en-GB"/>
        </w:rPr>
        <w:t xml:space="preserve"> Planar device layout prior to rolling, showing the 2D interdigitated electrode (IDE), PPE sections, adhesive region, and the defined outer tube (OT) and inner tube (IT).</w:t>
      </w:r>
    </w:p>
    <w:p w14:paraId="296416FB" w14:textId="77777777" w:rsidR="00AA0092" w:rsidRPr="000723C2" w:rsidRDefault="00AA0092" w:rsidP="00640FB7">
      <w:pPr>
        <w:spacing w:before="120" w:after="120"/>
        <w:rPr>
          <w:rFonts w:ascii="Times New Roman" w:hAnsi="Times New Roman"/>
          <w:sz w:val="24"/>
          <w:lang w:val="en-GB"/>
        </w:rPr>
      </w:pPr>
    </w:p>
    <w:p w14:paraId="4705C2AE" w14:textId="77777777" w:rsidR="00AA0092" w:rsidRPr="000723C2" w:rsidRDefault="00AA0092" w:rsidP="00640FB7">
      <w:pPr>
        <w:spacing w:before="120" w:after="120"/>
        <w:rPr>
          <w:rFonts w:ascii="Times New Roman" w:hAnsi="Times New Roman"/>
          <w:sz w:val="24"/>
          <w:lang w:val="en-GB"/>
        </w:rPr>
      </w:pPr>
    </w:p>
    <w:p w14:paraId="0206250D" w14:textId="77777777" w:rsidR="00AA0092" w:rsidRPr="000723C2" w:rsidRDefault="00AA0092" w:rsidP="00640FB7">
      <w:pPr>
        <w:spacing w:before="120" w:after="120"/>
        <w:rPr>
          <w:rFonts w:ascii="Times New Roman" w:hAnsi="Times New Roman"/>
          <w:sz w:val="24"/>
          <w:lang w:val="en-GB"/>
        </w:rPr>
      </w:pPr>
    </w:p>
    <w:p w14:paraId="59737714" w14:textId="77777777" w:rsidR="00AA0092" w:rsidRPr="000723C2" w:rsidRDefault="00AA0092" w:rsidP="00640FB7">
      <w:pPr>
        <w:spacing w:before="120" w:after="120"/>
        <w:rPr>
          <w:rFonts w:ascii="Times New Roman" w:hAnsi="Times New Roman"/>
          <w:sz w:val="24"/>
          <w:lang w:val="en-GB"/>
        </w:rPr>
      </w:pPr>
    </w:p>
    <w:p w14:paraId="0CE848DB" w14:textId="77777777" w:rsidR="00AA0092" w:rsidRPr="000723C2" w:rsidRDefault="00AA0092" w:rsidP="00640FB7">
      <w:pPr>
        <w:spacing w:before="120" w:after="120"/>
        <w:rPr>
          <w:rFonts w:ascii="Times New Roman" w:hAnsi="Times New Roman"/>
          <w:sz w:val="24"/>
          <w:lang w:val="en-GB"/>
        </w:rPr>
      </w:pPr>
    </w:p>
    <w:p w14:paraId="1481DC93" w14:textId="77777777" w:rsidR="00AA0092" w:rsidRPr="000723C2" w:rsidRDefault="00AA0092" w:rsidP="00640FB7">
      <w:pPr>
        <w:spacing w:before="120" w:after="120"/>
        <w:rPr>
          <w:rFonts w:ascii="Times New Roman" w:hAnsi="Times New Roman"/>
          <w:sz w:val="24"/>
          <w:lang w:val="en-GB"/>
        </w:rPr>
      </w:pPr>
    </w:p>
    <w:p w14:paraId="3B038056" w14:textId="77777777" w:rsidR="00AA0092" w:rsidRPr="000723C2" w:rsidRDefault="00AA0092" w:rsidP="00640FB7">
      <w:pPr>
        <w:spacing w:before="120" w:after="120"/>
        <w:rPr>
          <w:rFonts w:ascii="Times New Roman" w:hAnsi="Times New Roman"/>
          <w:sz w:val="24"/>
          <w:lang w:val="en-GB"/>
        </w:rPr>
      </w:pPr>
    </w:p>
    <w:p w14:paraId="2D44A801" w14:textId="77777777" w:rsidR="00AA0092" w:rsidRPr="000723C2" w:rsidRDefault="00AA0092" w:rsidP="00640FB7">
      <w:pPr>
        <w:spacing w:before="120" w:after="120"/>
        <w:rPr>
          <w:rFonts w:ascii="Times New Roman" w:hAnsi="Times New Roman"/>
          <w:sz w:val="24"/>
          <w:lang w:val="en-GB"/>
        </w:rPr>
      </w:pPr>
    </w:p>
    <w:p w14:paraId="6F8CA6C2" w14:textId="77777777" w:rsidR="00AA0092" w:rsidRPr="000723C2" w:rsidRDefault="00AA0092" w:rsidP="00640FB7">
      <w:pPr>
        <w:spacing w:before="120" w:after="120"/>
        <w:rPr>
          <w:rFonts w:ascii="Times New Roman" w:hAnsi="Times New Roman"/>
          <w:sz w:val="24"/>
          <w:lang w:val="en-GB"/>
        </w:rPr>
      </w:pPr>
    </w:p>
    <w:p w14:paraId="7D06B12A" w14:textId="77777777" w:rsidR="00AA0092" w:rsidRPr="000723C2" w:rsidRDefault="00AA0092" w:rsidP="00640FB7">
      <w:pPr>
        <w:spacing w:before="120" w:after="120"/>
        <w:rPr>
          <w:rFonts w:ascii="Times New Roman" w:hAnsi="Times New Roman"/>
          <w:sz w:val="24"/>
          <w:lang w:val="en-GB"/>
        </w:rPr>
      </w:pPr>
    </w:p>
    <w:p w14:paraId="794D62CF" w14:textId="77777777" w:rsidR="00AA0092" w:rsidRPr="000723C2" w:rsidRDefault="00AA0092" w:rsidP="00640FB7">
      <w:pPr>
        <w:spacing w:before="120" w:after="120"/>
        <w:rPr>
          <w:rFonts w:ascii="Times New Roman" w:hAnsi="Times New Roman"/>
          <w:sz w:val="24"/>
          <w:lang w:val="en-GB"/>
        </w:rPr>
      </w:pPr>
    </w:p>
    <w:p w14:paraId="24DC72A1" w14:textId="04C79FE2" w:rsidR="0017170C" w:rsidRPr="000723C2" w:rsidRDefault="0017170C" w:rsidP="00640FB7">
      <w:pPr>
        <w:spacing w:before="120" w:after="120"/>
        <w:rPr>
          <w:rFonts w:ascii="Times New Roman" w:hAnsi="Times New Roman"/>
          <w:sz w:val="24"/>
          <w:lang w:val="en-GB"/>
        </w:rPr>
      </w:pPr>
      <w:r w:rsidRPr="000723C2">
        <w:rPr>
          <w:noProof/>
          <w:lang w:val="en-IN" w:eastAsia="en-IN"/>
        </w:rPr>
        <w:drawing>
          <wp:inline distT="0" distB="0" distL="0" distR="0" wp14:anchorId="48A2FB9D" wp14:editId="2F9B8490">
            <wp:extent cx="5735320" cy="4844573"/>
            <wp:effectExtent l="0" t="0" r="0" b="0"/>
            <wp:docPr id="6927918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3406" cy="4859850"/>
                    </a:xfrm>
                    <a:prstGeom prst="rect">
                      <a:avLst/>
                    </a:prstGeom>
                    <a:noFill/>
                    <a:ln>
                      <a:noFill/>
                    </a:ln>
                  </pic:spPr>
                </pic:pic>
              </a:graphicData>
            </a:graphic>
          </wp:inline>
        </w:drawing>
      </w:r>
    </w:p>
    <w:p w14:paraId="38266288"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
          <w:bCs/>
          <w:sz w:val="24"/>
          <w:lang w:val="en-GB"/>
        </w:rPr>
        <w:t>Fig. S2</w:t>
      </w:r>
      <w:r w:rsidRPr="000723C2">
        <w:rPr>
          <w:rFonts w:ascii="Times New Roman" w:hAnsi="Times New Roman"/>
          <w:sz w:val="24"/>
          <w:lang w:val="en-GB"/>
        </w:rPr>
        <w:t xml:space="preserve"> Detailed microfabrication sequence.</w:t>
      </w:r>
      <w:r w:rsidRPr="000723C2">
        <w:rPr>
          <w:rFonts w:ascii="Times New Roman" w:hAnsi="Times New Roman"/>
          <w:bCs/>
          <w:sz w:val="24"/>
          <w:lang w:val="en-GB"/>
        </w:rPr>
        <w:t xml:space="preserve"> Step-by-step photolithographic process for the polymeric nanomembrane stack: (Step 1) Sacrificial layer (SL) patterning. (Step 2) Hydrogel (HG) deposition and patterning. (Step 3) Sputtering and patterning of the bottom electrode (BE, Cr/Au). (Step 4) Spin-coating and patterning of the first polyimide (PI) layer. (Step 5) Sputtering and patterning of the top electrode (TE, Cr/Au). (Step 6) Deposition and patterning of a thicker PI reinforcing layer for mechanical stability. (Step 7) Oxygen plasma cleaning and final deposition/patterning of SU-8 spacer (SP) bars. Insets 1, 2: Detailed dimensions of the electrode structures. Insets 3, 4: Design and integration of lithographic anchors to prevent lateral rolling. Inset 5: Close-up view of the SU-8 spacer bars.</w:t>
      </w:r>
    </w:p>
    <w:p w14:paraId="339EBF4B" w14:textId="77777777" w:rsidR="0017170C" w:rsidRPr="000723C2" w:rsidRDefault="0017170C" w:rsidP="00640FB7">
      <w:pPr>
        <w:spacing w:before="120" w:after="120"/>
        <w:rPr>
          <w:rFonts w:ascii="Times New Roman" w:hAnsi="Times New Roman"/>
          <w:b/>
          <w:bCs/>
          <w:sz w:val="24"/>
          <w:lang w:val="en-GB"/>
        </w:rPr>
      </w:pPr>
    </w:p>
    <w:p w14:paraId="6C1D6973" w14:textId="77777777" w:rsidR="0017170C" w:rsidRPr="000723C2" w:rsidRDefault="0017170C" w:rsidP="00640FB7">
      <w:pPr>
        <w:spacing w:before="120" w:after="120"/>
        <w:rPr>
          <w:rFonts w:ascii="Times New Roman" w:hAnsi="Times New Roman"/>
          <w:b/>
          <w:bCs/>
          <w:sz w:val="24"/>
          <w:lang w:val="en-GB"/>
        </w:rPr>
      </w:pPr>
      <w:r w:rsidRPr="000723C2">
        <w:rPr>
          <w:noProof/>
          <w:lang w:val="en-IN" w:eastAsia="en-IN"/>
        </w:rPr>
        <w:lastRenderedPageBreak/>
        <w:drawing>
          <wp:inline distT="0" distB="0" distL="0" distR="0" wp14:anchorId="7C394992" wp14:editId="3CC86E42">
            <wp:extent cx="5756910" cy="2682605"/>
            <wp:effectExtent l="0" t="0" r="0" b="3810"/>
            <wp:docPr id="203067295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72814" cy="2690016"/>
                    </a:xfrm>
                    <a:prstGeom prst="rect">
                      <a:avLst/>
                    </a:prstGeom>
                    <a:noFill/>
                    <a:ln>
                      <a:noFill/>
                    </a:ln>
                  </pic:spPr>
                </pic:pic>
              </a:graphicData>
            </a:graphic>
          </wp:inline>
        </w:drawing>
      </w:r>
    </w:p>
    <w:p w14:paraId="3F634C60"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
          <w:bCs/>
          <w:sz w:val="24"/>
          <w:lang w:val="en-GB"/>
        </w:rPr>
        <w:t>Fig. S3</w:t>
      </w:r>
      <w:r w:rsidRPr="000723C2">
        <w:rPr>
          <w:rFonts w:ascii="Times New Roman" w:hAnsi="Times New Roman"/>
          <w:sz w:val="24"/>
          <w:lang w:val="en-GB"/>
        </w:rPr>
        <w:t xml:space="preserve"> Sequential self-assembly of the 3D coaxial architecture. </w:t>
      </w:r>
      <w:r w:rsidRPr="000723C2">
        <w:rPr>
          <w:rFonts w:ascii="Times New Roman" w:hAnsi="Times New Roman"/>
          <w:bCs/>
          <w:sz w:val="24"/>
          <w:lang w:val="en-GB"/>
        </w:rPr>
        <w:t xml:space="preserve">The strain-driven rolling process occurs in two distinct phases, guided by lithographic anchors and a polyimide (PI) reinforcing layer to ensure the correct sequence. </w:t>
      </w:r>
      <w:r w:rsidRPr="000723C2">
        <w:rPr>
          <w:rFonts w:ascii="Times New Roman" w:hAnsi="Times New Roman"/>
          <w:b/>
          <w:bCs/>
          <w:sz w:val="24"/>
          <w:lang w:val="en-GB"/>
        </w:rPr>
        <w:t>a</w:t>
      </w:r>
      <w:r w:rsidRPr="000723C2">
        <w:rPr>
          <w:rFonts w:ascii="Times New Roman" w:hAnsi="Times New Roman"/>
          <w:sz w:val="24"/>
          <w:lang w:val="en-GB"/>
        </w:rPr>
        <w:t xml:space="preserve"> </w:t>
      </w:r>
      <w:r w:rsidRPr="000723C2">
        <w:rPr>
          <w:rFonts w:ascii="Times New Roman" w:hAnsi="Times New Roman"/>
          <w:bCs/>
          <w:sz w:val="24"/>
          <w:lang w:val="en-GB"/>
        </w:rPr>
        <w:t xml:space="preserve">Phase 1: Inner tube formation. </w:t>
      </w:r>
      <w:r w:rsidRPr="000723C2">
        <w:rPr>
          <w:rFonts w:ascii="Times New Roman" w:hAnsi="Times New Roman"/>
          <w:sz w:val="24"/>
          <w:lang w:val="en-GB"/>
        </w:rPr>
        <w:t xml:space="preserve">Overview image and corresponding zoomed views (Insets 1, 2) showing the initial rolling stage that transforms the 2D interdigitated electrodes (IDEs) into the 3D inner tube. </w:t>
      </w:r>
      <w:r w:rsidRPr="000723C2">
        <w:rPr>
          <w:rFonts w:ascii="Times New Roman" w:hAnsi="Times New Roman"/>
          <w:b/>
          <w:bCs/>
          <w:sz w:val="24"/>
          <w:lang w:val="en-GB"/>
        </w:rPr>
        <w:t>b</w:t>
      </w:r>
      <w:r w:rsidRPr="000723C2">
        <w:rPr>
          <w:rFonts w:ascii="Times New Roman" w:hAnsi="Times New Roman"/>
          <w:sz w:val="24"/>
          <w:lang w:val="en-GB"/>
        </w:rPr>
        <w:t xml:space="preserve"> </w:t>
      </w:r>
      <w:r w:rsidRPr="000723C2">
        <w:rPr>
          <w:rFonts w:ascii="Times New Roman" w:hAnsi="Times New Roman"/>
          <w:bCs/>
          <w:sz w:val="24"/>
          <w:lang w:val="en-GB"/>
        </w:rPr>
        <w:t>Phase 2: Outer tube formation. Overview image and corresponding zoomed views (Insets 3, 4) showing the subsequent rolling stage, where the outer structure encases the inner tube to form the complete coaxial architecture with integrated parallel-plate electrodes (PPEs). The final device has a total length of 12 mm.</w:t>
      </w:r>
    </w:p>
    <w:p w14:paraId="46164104" w14:textId="77777777" w:rsidR="0017170C" w:rsidRPr="000723C2" w:rsidRDefault="0017170C" w:rsidP="00640FB7">
      <w:pPr>
        <w:spacing w:before="120" w:after="120"/>
        <w:rPr>
          <w:rFonts w:ascii="Times New Roman" w:hAnsi="Times New Roman"/>
          <w:b/>
          <w:bCs/>
          <w:sz w:val="24"/>
          <w:lang w:val="en-GB"/>
        </w:rPr>
      </w:pPr>
      <w:r w:rsidRPr="000723C2">
        <w:rPr>
          <w:noProof/>
          <w:lang w:val="en-IN" w:eastAsia="en-IN"/>
        </w:rPr>
        <w:drawing>
          <wp:inline distT="0" distB="0" distL="0" distR="0" wp14:anchorId="703ABC81" wp14:editId="185E9B99">
            <wp:extent cx="5828665" cy="4357912"/>
            <wp:effectExtent l="0" t="0" r="635" b="5080"/>
            <wp:docPr id="10492606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1465" cy="4367482"/>
                    </a:xfrm>
                    <a:prstGeom prst="rect">
                      <a:avLst/>
                    </a:prstGeom>
                    <a:noFill/>
                    <a:ln>
                      <a:noFill/>
                    </a:ln>
                  </pic:spPr>
                </pic:pic>
              </a:graphicData>
            </a:graphic>
          </wp:inline>
        </w:drawing>
      </w:r>
    </w:p>
    <w:p w14:paraId="5EC910BD"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
          <w:bCs/>
          <w:sz w:val="24"/>
          <w:lang w:val="en-GB"/>
        </w:rPr>
        <w:t>Fig. S4</w:t>
      </w:r>
      <w:r w:rsidRPr="000723C2">
        <w:rPr>
          <w:rFonts w:ascii="Times New Roman" w:hAnsi="Times New Roman"/>
          <w:sz w:val="24"/>
          <w:lang w:val="en-GB"/>
        </w:rPr>
        <w:t xml:space="preserve"> </w:t>
      </w:r>
      <w:r w:rsidRPr="000723C2">
        <w:rPr>
          <w:rFonts w:ascii="Times New Roman" w:hAnsi="Times New Roman"/>
          <w:bCs/>
          <w:sz w:val="24"/>
          <w:lang w:val="en-GB"/>
        </w:rPr>
        <w:t xml:space="preserve">Scanning electron microscopy (SEM) images of self-assembled Swiss-roll coaxial </w:t>
      </w:r>
      <w:r w:rsidRPr="000723C2">
        <w:rPr>
          <w:rFonts w:ascii="Times New Roman" w:hAnsi="Times New Roman"/>
          <w:bCs/>
          <w:sz w:val="24"/>
          <w:lang w:val="en-GB"/>
        </w:rPr>
        <w:lastRenderedPageBreak/>
        <w:t xml:space="preserve">platform with varying interwinding gaps. The top row shows the fabrication process, illustrating the rolling of a layered structure into a coaxial configuration (left), resulting in the fully assembled samples (centre). The fully assembled samples exhibit a consistent pattern of concentric rings around a central inner tube, with the interwinding gap (spacer) distance systematically varied (right). The bottom rows show higher magnification views of the spacers for samples with ca. 40 µm and ca. 5 µm gaps, respectively, highlighting the microstructural morphology. The right column presents a series of fully assembled samples with varying interwinding gaps: 5 µm (volume of outer tube is </w:t>
      </w:r>
      <w:r w:rsidRPr="000723C2">
        <w:rPr>
          <w:rFonts w:ascii="Times New Roman" w:hAnsi="Times New Roman"/>
          <w:sz w:val="24"/>
          <w:lang w:val="en-GB"/>
        </w:rPr>
        <w:t>~70 nL</w:t>
      </w:r>
      <w:r w:rsidRPr="000723C2">
        <w:rPr>
          <w:rFonts w:ascii="Times New Roman" w:hAnsi="Times New Roman"/>
          <w:bCs/>
          <w:sz w:val="24"/>
          <w:lang w:val="en-GB"/>
        </w:rPr>
        <w:t xml:space="preserve">), 15 µm (volume of outer tube is </w:t>
      </w:r>
      <w:r w:rsidRPr="000723C2">
        <w:rPr>
          <w:rFonts w:ascii="Times New Roman" w:hAnsi="Times New Roman"/>
          <w:sz w:val="24"/>
          <w:lang w:val="en-GB"/>
        </w:rPr>
        <w:t>~200 nL</w:t>
      </w:r>
      <w:r w:rsidRPr="000723C2">
        <w:rPr>
          <w:rFonts w:ascii="Times New Roman" w:hAnsi="Times New Roman"/>
          <w:bCs/>
          <w:sz w:val="24"/>
          <w:lang w:val="en-GB"/>
        </w:rPr>
        <w:t xml:space="preserve">), 30 µm (volume of outer tube is </w:t>
      </w:r>
      <w:r w:rsidRPr="000723C2">
        <w:rPr>
          <w:rFonts w:ascii="Times New Roman" w:hAnsi="Times New Roman"/>
          <w:sz w:val="24"/>
          <w:lang w:val="en-GB"/>
        </w:rPr>
        <w:t>~400 nL</w:t>
      </w:r>
      <w:r w:rsidRPr="000723C2">
        <w:rPr>
          <w:rFonts w:ascii="Times New Roman" w:hAnsi="Times New Roman"/>
          <w:bCs/>
          <w:sz w:val="24"/>
          <w:lang w:val="en-GB"/>
        </w:rPr>
        <w:t xml:space="preserve">), 40 µm (volume of outer tube is </w:t>
      </w:r>
      <w:r w:rsidRPr="000723C2">
        <w:rPr>
          <w:rFonts w:ascii="Times New Roman" w:hAnsi="Times New Roman"/>
          <w:sz w:val="24"/>
          <w:lang w:val="en-GB"/>
        </w:rPr>
        <w:t>~550 nL</w:t>
      </w:r>
      <w:r w:rsidRPr="000723C2">
        <w:rPr>
          <w:rFonts w:ascii="Times New Roman" w:hAnsi="Times New Roman"/>
          <w:bCs/>
          <w:sz w:val="24"/>
          <w:lang w:val="en-GB"/>
        </w:rPr>
        <w:t xml:space="preserve">), and 50 µm (volume of outer tube is </w:t>
      </w:r>
      <w:r w:rsidRPr="000723C2">
        <w:rPr>
          <w:rFonts w:ascii="Times New Roman" w:hAnsi="Times New Roman"/>
          <w:sz w:val="24"/>
          <w:lang w:val="en-GB"/>
        </w:rPr>
        <w:t>~700 nL</w:t>
      </w:r>
      <w:r w:rsidRPr="000723C2">
        <w:rPr>
          <w:rFonts w:ascii="Times New Roman" w:hAnsi="Times New Roman"/>
          <w:bCs/>
          <w:sz w:val="24"/>
          <w:lang w:val="en-GB"/>
        </w:rPr>
        <w:t>), demonstrating a clear correlation between the spacer size and the resulting macroscopic structure. The gradient bar on the right indicates the relative throughput associated with each spacer size, with larger gaps yielding higher throughput.</w:t>
      </w:r>
    </w:p>
    <w:p w14:paraId="62941E24" w14:textId="77777777" w:rsidR="0017170C" w:rsidRPr="000723C2" w:rsidRDefault="0017170C" w:rsidP="00640FB7">
      <w:pPr>
        <w:spacing w:before="120" w:after="120"/>
        <w:rPr>
          <w:rFonts w:ascii="Times New Roman" w:hAnsi="Times New Roman"/>
          <w:b/>
          <w:bCs/>
          <w:sz w:val="24"/>
          <w:lang w:val="en-GB"/>
        </w:rPr>
      </w:pPr>
    </w:p>
    <w:p w14:paraId="6755321A" w14:textId="77777777" w:rsidR="0017170C" w:rsidRPr="000723C2" w:rsidRDefault="0017170C" w:rsidP="00640FB7">
      <w:pPr>
        <w:spacing w:before="120" w:after="120"/>
        <w:rPr>
          <w:rFonts w:ascii="Times New Roman" w:hAnsi="Times New Roman"/>
          <w:bCs/>
          <w:sz w:val="24"/>
          <w:szCs w:val="28"/>
          <w:lang w:val="en-GB"/>
        </w:rPr>
      </w:pPr>
      <w:r w:rsidRPr="000723C2">
        <w:rPr>
          <w:noProof/>
          <w:lang w:val="en-IN" w:eastAsia="en-IN"/>
          <w14:ligatures w14:val="standardContextual"/>
        </w:rPr>
        <w:drawing>
          <wp:inline distT="0" distB="0" distL="0" distR="0" wp14:anchorId="00840471" wp14:editId="63AB1DF1">
            <wp:extent cx="6216015" cy="5763895"/>
            <wp:effectExtent l="0" t="0" r="0" b="8255"/>
            <wp:docPr id="2428755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16015" cy="5763895"/>
                    </a:xfrm>
                    <a:prstGeom prst="rect">
                      <a:avLst/>
                    </a:prstGeom>
                    <a:noFill/>
                    <a:ln>
                      <a:noFill/>
                    </a:ln>
                  </pic:spPr>
                </pic:pic>
              </a:graphicData>
            </a:graphic>
          </wp:inline>
        </w:drawing>
      </w:r>
    </w:p>
    <w:p w14:paraId="4A700648" w14:textId="28D4AADE" w:rsidR="0017170C" w:rsidRPr="000723C2" w:rsidRDefault="0017170C" w:rsidP="00640FB7">
      <w:pPr>
        <w:spacing w:before="120" w:after="120"/>
        <w:rPr>
          <w:rFonts w:ascii="Times New Roman" w:hAnsi="Times New Roman"/>
          <w:sz w:val="24"/>
          <w:szCs w:val="28"/>
        </w:rPr>
      </w:pPr>
      <w:r w:rsidRPr="000723C2">
        <w:rPr>
          <w:rFonts w:ascii="Times New Roman" w:hAnsi="Times New Roman"/>
          <w:bCs/>
          <w:sz w:val="24"/>
          <w:szCs w:val="28"/>
          <w:lang w:val="en-GB"/>
        </w:rPr>
        <w:t xml:space="preserve">Fig. S5 </w:t>
      </w:r>
      <w:r w:rsidRPr="000723C2">
        <w:rPr>
          <w:rFonts w:ascii="Times New Roman" w:hAnsi="Times New Roman"/>
          <w:sz w:val="24"/>
          <w:szCs w:val="28"/>
        </w:rPr>
        <w:t xml:space="preserve">Microfluidic integration and sealing of the 3D coaxial platform. </w:t>
      </w:r>
      <w:r w:rsidRPr="000723C2">
        <w:rPr>
          <w:rFonts w:ascii="Times New Roman" w:hAnsi="Times New Roman"/>
          <w:b/>
          <w:sz w:val="24"/>
          <w:szCs w:val="28"/>
        </w:rPr>
        <w:t>a</w:t>
      </w:r>
      <w:r w:rsidRPr="000723C2">
        <w:rPr>
          <w:rFonts w:ascii="Times New Roman" w:hAnsi="Times New Roman"/>
          <w:sz w:val="24"/>
          <w:szCs w:val="28"/>
        </w:rPr>
        <w:t xml:space="preserve"> Sealing strategy. Optical micrographs showing the integration of the self-assembled coaxial structure within the PDMS device. The architecture is aligned in the main channel, and liquid PDMS is introduced through lateral channels to locally seal the structure, establishing isolated fluidic connections.  </w:t>
      </w:r>
      <w:r w:rsidRPr="000723C2">
        <w:rPr>
          <w:rFonts w:ascii="Times New Roman" w:hAnsi="Times New Roman"/>
          <w:b/>
          <w:sz w:val="24"/>
          <w:szCs w:val="28"/>
        </w:rPr>
        <w:lastRenderedPageBreak/>
        <w:t>b</w:t>
      </w:r>
      <w:r w:rsidRPr="000723C2">
        <w:rPr>
          <w:rFonts w:ascii="Times New Roman" w:hAnsi="Times New Roman"/>
          <w:sz w:val="24"/>
          <w:szCs w:val="28"/>
        </w:rPr>
        <w:t xml:space="preserve"> Programmable sequential filling. A series of optical micrographs demonstrating controlled, winding-by-winding fluid progression through the 3D architecture. The SU-8 spacer design creates discrete microfluidic channels within the windings, enabling precise control over the filled volume. This confirms the design provides addressable microfluidic access to the entire active surface area. Scale bars 50 µm.</w:t>
      </w:r>
    </w:p>
    <w:p w14:paraId="01ABD04F" w14:textId="37630904" w:rsidR="00AA0092" w:rsidRPr="000723C2" w:rsidRDefault="00AA0092" w:rsidP="00640FB7">
      <w:pPr>
        <w:spacing w:before="120" w:after="120"/>
        <w:rPr>
          <w:rFonts w:ascii="Times New Roman" w:hAnsi="Times New Roman"/>
          <w:sz w:val="24"/>
          <w:szCs w:val="28"/>
        </w:rPr>
      </w:pPr>
    </w:p>
    <w:p w14:paraId="6D5DBFA3" w14:textId="77777777" w:rsidR="00AA0092" w:rsidRPr="000723C2" w:rsidRDefault="00AA0092" w:rsidP="00640FB7">
      <w:pPr>
        <w:spacing w:before="120" w:after="120"/>
        <w:rPr>
          <w:rFonts w:ascii="Times New Roman" w:hAnsi="Times New Roman"/>
          <w:b/>
          <w:sz w:val="24"/>
          <w:szCs w:val="28"/>
        </w:rPr>
      </w:pPr>
    </w:p>
    <w:p w14:paraId="46ADD524" w14:textId="77777777" w:rsidR="0017170C" w:rsidRPr="000723C2" w:rsidRDefault="0017170C" w:rsidP="00640FB7">
      <w:pPr>
        <w:spacing w:before="120" w:after="120"/>
        <w:rPr>
          <w:rFonts w:ascii="Times New Roman" w:hAnsi="Times New Roman"/>
          <w:b/>
          <w:sz w:val="24"/>
          <w:szCs w:val="28"/>
        </w:rPr>
      </w:pPr>
      <w:r w:rsidRPr="000723C2">
        <w:rPr>
          <w:noProof/>
          <w:lang w:val="en-IN" w:eastAsia="en-IN"/>
          <w14:ligatures w14:val="standardContextual"/>
        </w:rPr>
        <w:drawing>
          <wp:inline distT="0" distB="0" distL="0" distR="0" wp14:anchorId="36A89DEA" wp14:editId="7DBEE682">
            <wp:extent cx="5662915" cy="4525645"/>
            <wp:effectExtent l="0" t="0" r="0" b="8255"/>
            <wp:docPr id="15006626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70950" cy="4532066"/>
                    </a:xfrm>
                    <a:prstGeom prst="rect">
                      <a:avLst/>
                    </a:prstGeom>
                    <a:noFill/>
                    <a:ln>
                      <a:noFill/>
                    </a:ln>
                  </pic:spPr>
                </pic:pic>
              </a:graphicData>
            </a:graphic>
          </wp:inline>
        </w:drawing>
      </w:r>
    </w:p>
    <w:p w14:paraId="15D6AFE1"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S6</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Geometry-dependent electrochemical performance of the integrated electrodes.</w:t>
      </w:r>
      <w:r w:rsidRPr="000723C2">
        <w:rPr>
          <w:rFonts w:ascii="Times New Roman" w:hAnsi="Times New Roman"/>
          <w:sz w:val="24"/>
          <w:szCs w:val="28"/>
          <w:lang w:val="en-GB"/>
        </w:rPr>
        <w:br/>
        <w:t>Bode plots (top row, impedance magnitude |Z| vs. frequency) and capacitance spectra (bottom row) directly compare the three electrode geometries - planar 2D IDEs, 3D coaxial IDEs, and PPEs - across KCl solutions (10</w:t>
      </w:r>
      <w:r w:rsidRPr="000723C2">
        <w:rPr>
          <w:rFonts w:ascii="Times New Roman" w:hAnsi="Times New Roman"/>
          <w:sz w:val="24"/>
          <w:szCs w:val="28"/>
          <w:vertAlign w:val="superscript"/>
          <w:lang w:val="en-GB"/>
        </w:rPr>
        <w:t xml:space="preserve">-5 </w:t>
      </w:r>
      <w:r w:rsidRPr="000723C2">
        <w:rPr>
          <w:rFonts w:ascii="Times New Roman" w:hAnsi="Times New Roman"/>
          <w:sz w:val="24"/>
          <w:szCs w:val="28"/>
          <w:lang w:val="en-GB"/>
        </w:rPr>
        <w:t>to 1 M). The data reveal a pronounced geometry effect: the 3D self-assembled structures (3D IDEs, PPEs) consistently outperform the 2D baseline, with PPEs providing the lowest impedance and most stable capacitance due to their large surface area, while 3D IDEs offer robust performance across all ionic strengths.</w:t>
      </w:r>
    </w:p>
    <w:p w14:paraId="6826107F" w14:textId="77777777" w:rsidR="0017170C" w:rsidRPr="000723C2" w:rsidRDefault="0017170C" w:rsidP="00640FB7">
      <w:pPr>
        <w:spacing w:before="120" w:after="120"/>
        <w:rPr>
          <w:rFonts w:ascii="Times New Roman" w:hAnsi="Times New Roman"/>
          <w:b/>
          <w:sz w:val="24"/>
          <w:szCs w:val="28"/>
          <w:lang w:val="en-GB"/>
        </w:rPr>
      </w:pPr>
    </w:p>
    <w:p w14:paraId="1753B619" w14:textId="77777777" w:rsidR="0017170C" w:rsidRPr="000723C2" w:rsidRDefault="0017170C" w:rsidP="00640FB7">
      <w:pPr>
        <w:spacing w:before="120" w:after="120"/>
        <w:rPr>
          <w:rFonts w:ascii="Times New Roman" w:hAnsi="Times New Roman"/>
          <w:b/>
          <w:sz w:val="24"/>
          <w:szCs w:val="28"/>
          <w:lang w:val="en-GB"/>
        </w:rPr>
      </w:pPr>
    </w:p>
    <w:p w14:paraId="017DAE62" w14:textId="77777777" w:rsidR="0017170C" w:rsidRPr="000723C2" w:rsidRDefault="0017170C" w:rsidP="00640FB7">
      <w:pPr>
        <w:spacing w:before="120" w:after="120"/>
        <w:rPr>
          <w:rFonts w:ascii="Times New Roman" w:hAnsi="Times New Roman"/>
          <w:b/>
          <w:sz w:val="24"/>
          <w:szCs w:val="28"/>
          <w:lang w:val="en-GB"/>
        </w:rPr>
      </w:pPr>
    </w:p>
    <w:p w14:paraId="4D979C26" w14:textId="77777777" w:rsidR="0017170C" w:rsidRPr="000723C2" w:rsidRDefault="0017170C" w:rsidP="00640FB7">
      <w:pPr>
        <w:spacing w:before="120" w:after="120"/>
        <w:rPr>
          <w:rFonts w:ascii="Times New Roman" w:hAnsi="Times New Roman"/>
          <w:b/>
          <w:sz w:val="24"/>
          <w:szCs w:val="28"/>
          <w:lang w:val="en-GB"/>
        </w:rPr>
      </w:pPr>
    </w:p>
    <w:p w14:paraId="4C4E40A3" w14:textId="77777777" w:rsidR="0017170C" w:rsidRPr="000723C2" w:rsidRDefault="0017170C" w:rsidP="00640FB7">
      <w:pPr>
        <w:spacing w:before="120" w:after="120"/>
        <w:rPr>
          <w:rFonts w:ascii="Times New Roman" w:hAnsi="Times New Roman"/>
          <w:b/>
          <w:sz w:val="24"/>
          <w:szCs w:val="28"/>
          <w:lang w:val="en-GB"/>
        </w:rPr>
      </w:pPr>
    </w:p>
    <w:p w14:paraId="7112828E" w14:textId="77777777" w:rsidR="0017170C" w:rsidRPr="000723C2" w:rsidRDefault="0017170C" w:rsidP="00640FB7">
      <w:pPr>
        <w:spacing w:before="120" w:after="120"/>
        <w:rPr>
          <w:rFonts w:ascii="Times New Roman" w:hAnsi="Times New Roman"/>
          <w:b/>
          <w:sz w:val="24"/>
          <w:szCs w:val="28"/>
          <w:lang w:val="en-GB"/>
        </w:rPr>
      </w:pPr>
    </w:p>
    <w:p w14:paraId="6E277D84" w14:textId="77777777" w:rsidR="0017170C" w:rsidRPr="000723C2" w:rsidRDefault="0017170C" w:rsidP="00640FB7">
      <w:pPr>
        <w:spacing w:before="120" w:after="120"/>
        <w:rPr>
          <w:rFonts w:ascii="Times New Roman" w:hAnsi="Times New Roman"/>
          <w:b/>
          <w:sz w:val="24"/>
          <w:szCs w:val="28"/>
          <w:lang w:val="en-GB"/>
        </w:rPr>
      </w:pPr>
      <w:r w:rsidRPr="000723C2">
        <w:rPr>
          <w:noProof/>
          <w:lang w:val="en-IN" w:eastAsia="en-IN"/>
          <w14:ligatures w14:val="standardContextual"/>
        </w:rPr>
        <w:lastRenderedPageBreak/>
        <w:drawing>
          <wp:inline distT="0" distB="0" distL="0" distR="0" wp14:anchorId="1F9DF487" wp14:editId="09BA96B8">
            <wp:extent cx="5709920" cy="1616618"/>
            <wp:effectExtent l="0" t="0" r="5080" b="3175"/>
            <wp:docPr id="9494187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44104" cy="1626296"/>
                    </a:xfrm>
                    <a:prstGeom prst="rect">
                      <a:avLst/>
                    </a:prstGeom>
                    <a:noFill/>
                    <a:ln>
                      <a:noFill/>
                    </a:ln>
                  </pic:spPr>
                </pic:pic>
              </a:graphicData>
            </a:graphic>
          </wp:inline>
        </w:drawing>
      </w:r>
    </w:p>
    <w:p w14:paraId="7C071B93"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S7</w:t>
      </w:r>
      <w:r w:rsidRPr="000723C2">
        <w:rPr>
          <w:rFonts w:ascii="Times New Roman" w:hAnsi="Times New Roman"/>
          <w:bCs/>
          <w:sz w:val="24"/>
          <w:szCs w:val="28"/>
          <w:lang w:val="en-GB"/>
        </w:rPr>
        <w:t xml:space="preserve"> </w:t>
      </w:r>
      <w:r w:rsidRPr="000723C2">
        <w:rPr>
          <w:rFonts w:ascii="Times New Roman" w:hAnsi="Times New Roman"/>
          <w:sz w:val="24"/>
          <w:lang w:val="en-GB"/>
        </w:rPr>
        <w:t>Bode plot analysis corresponding to Fig. 3c.</w:t>
      </w:r>
      <w:r w:rsidRPr="000723C2">
        <w:rPr>
          <w:rFonts w:ascii="Times New Roman" w:hAnsi="Times New Roman"/>
          <w:bCs/>
          <w:sz w:val="24"/>
          <w:lang w:val="en-GB"/>
        </w:rPr>
        <w:t xml:space="preserve"> </w:t>
      </w:r>
      <w:r w:rsidRPr="000723C2">
        <w:rPr>
          <w:rFonts w:ascii="Times New Roman" w:hAnsi="Times New Roman"/>
          <w:sz w:val="24"/>
          <w:lang w:val="en-GB"/>
        </w:rPr>
        <w:t>Impedance magnitude (|Z|) versus frequency for the same measurements shown in the capacitance–impedance plots of Fig. 3c, featuring (</w:t>
      </w:r>
      <w:r w:rsidRPr="000723C2">
        <w:rPr>
          <w:rFonts w:ascii="Times New Roman" w:hAnsi="Times New Roman"/>
          <w:i/>
          <w:iCs/>
          <w:sz w:val="24"/>
          <w:lang w:val="en-GB"/>
        </w:rPr>
        <w:t>i</w:t>
      </w:r>
      <w:r w:rsidRPr="000723C2">
        <w:rPr>
          <w:rFonts w:ascii="Times New Roman" w:hAnsi="Times New Roman"/>
          <w:sz w:val="24"/>
          <w:lang w:val="en-GB"/>
        </w:rPr>
        <w:t>) 3D IDEs, (</w:t>
      </w:r>
      <w:r w:rsidRPr="000723C2">
        <w:rPr>
          <w:rFonts w:ascii="Times New Roman" w:hAnsi="Times New Roman"/>
          <w:i/>
          <w:iCs/>
          <w:sz w:val="24"/>
          <w:lang w:val="en-GB"/>
        </w:rPr>
        <w:t>ii</w:t>
      </w:r>
      <w:r w:rsidRPr="000723C2">
        <w:rPr>
          <w:rFonts w:ascii="Times New Roman" w:hAnsi="Times New Roman"/>
          <w:sz w:val="24"/>
          <w:lang w:val="en-GB"/>
        </w:rPr>
        <w:t>) 3D IDE-PPE pair, and (</w:t>
      </w:r>
      <w:r w:rsidRPr="000723C2">
        <w:rPr>
          <w:rFonts w:ascii="Times New Roman" w:hAnsi="Times New Roman"/>
          <w:i/>
          <w:iCs/>
          <w:sz w:val="24"/>
          <w:lang w:val="en-GB"/>
        </w:rPr>
        <w:t>iii</w:t>
      </w:r>
      <w:r w:rsidRPr="000723C2">
        <w:rPr>
          <w:rFonts w:ascii="Times New Roman" w:hAnsi="Times New Roman"/>
          <w:sz w:val="24"/>
          <w:lang w:val="en-GB"/>
        </w:rPr>
        <w:t>) PPEs across KCl solutions (10⁻</w:t>
      </w:r>
      <w:r w:rsidRPr="000723C2">
        <w:rPr>
          <w:rFonts w:ascii="Times New Roman" w:hAnsi="Times New Roman"/>
          <w:sz w:val="24"/>
          <w:vertAlign w:val="superscript"/>
          <w:lang w:val="en-GB"/>
        </w:rPr>
        <w:t>4</w:t>
      </w:r>
      <w:r w:rsidRPr="000723C2">
        <w:rPr>
          <w:rFonts w:ascii="Times New Roman" w:hAnsi="Times New Roman"/>
          <w:sz w:val="24"/>
          <w:lang w:val="en-GB"/>
        </w:rPr>
        <w:t xml:space="preserve"> to 1 M). These Bode plots provide complementary frequency-domain analysis, quantitatively showing that PPEs maintain the lowest impedance magnitude across most frequencies, while 3D IDEs offer stable performance over the broadest frequency range.</w:t>
      </w:r>
    </w:p>
    <w:p w14:paraId="37B9C286" w14:textId="408DB13F" w:rsidR="0017170C" w:rsidRPr="000723C2" w:rsidRDefault="0017170C" w:rsidP="00640FB7">
      <w:pPr>
        <w:spacing w:before="120" w:after="120"/>
        <w:rPr>
          <w:rFonts w:ascii="Times New Roman" w:hAnsi="Times New Roman"/>
          <w:b/>
          <w:sz w:val="24"/>
          <w:szCs w:val="28"/>
          <w:lang w:val="en-GB"/>
        </w:rPr>
      </w:pPr>
    </w:p>
    <w:p w14:paraId="16D5A06C" w14:textId="77777777" w:rsidR="00AA0092" w:rsidRPr="000723C2" w:rsidRDefault="00AA0092" w:rsidP="00640FB7">
      <w:pPr>
        <w:spacing w:before="120" w:after="120"/>
        <w:rPr>
          <w:rFonts w:ascii="Times New Roman" w:hAnsi="Times New Roman"/>
          <w:b/>
          <w:sz w:val="24"/>
          <w:szCs w:val="28"/>
          <w:lang w:val="en-GB"/>
        </w:rPr>
      </w:pPr>
    </w:p>
    <w:p w14:paraId="6C686CB6" w14:textId="77777777" w:rsidR="0017170C" w:rsidRPr="000723C2" w:rsidRDefault="0017170C" w:rsidP="00640FB7">
      <w:pPr>
        <w:spacing w:before="120" w:after="120"/>
        <w:rPr>
          <w:rFonts w:ascii="Times New Roman" w:hAnsi="Times New Roman"/>
          <w:b/>
          <w:sz w:val="24"/>
          <w:szCs w:val="28"/>
          <w:lang w:val="en-GB"/>
        </w:rPr>
      </w:pPr>
      <w:r w:rsidRPr="000723C2">
        <w:rPr>
          <w:noProof/>
          <w:lang w:val="en-IN" w:eastAsia="en-IN"/>
        </w:rPr>
        <w:drawing>
          <wp:inline distT="0" distB="0" distL="0" distR="0" wp14:anchorId="5634C2BF" wp14:editId="411FF22D">
            <wp:extent cx="5486317" cy="3010535"/>
            <wp:effectExtent l="0" t="0" r="635" b="0"/>
            <wp:docPr id="16596318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00779" cy="3018471"/>
                    </a:xfrm>
                    <a:prstGeom prst="rect">
                      <a:avLst/>
                    </a:prstGeom>
                    <a:noFill/>
                    <a:ln>
                      <a:noFill/>
                    </a:ln>
                  </pic:spPr>
                </pic:pic>
              </a:graphicData>
            </a:graphic>
          </wp:inline>
        </w:drawing>
      </w:r>
    </w:p>
    <w:p w14:paraId="7D1F80BE"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S8</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Dielectric sensitivity of electrode geometries. Bode plots (top row) and corresponding capacitance spectra (bottom row) for the 2D IDEs, 3D IDEs, and PPEs in ethanol–water mixtures of varying composition (pure water to pure ethanol). The data quantify the geometry-dependent dielectric response: PPEs act as highly sensitive dielectric sensors, with impedance varying by nearly three orders of magnitude, while the IDE geometries provide stable performance, making them robust for fluctuating environments. This demonstrates the capability to select electrode geometry based on the required application, whether sensing or stable operation.</w:t>
      </w:r>
    </w:p>
    <w:p w14:paraId="3C9AF854" w14:textId="77777777" w:rsidR="0017170C" w:rsidRPr="000723C2" w:rsidRDefault="0017170C" w:rsidP="00640FB7">
      <w:pPr>
        <w:spacing w:before="120" w:after="120"/>
        <w:rPr>
          <w:rFonts w:ascii="Times New Roman" w:hAnsi="Times New Roman"/>
          <w:b/>
          <w:sz w:val="28"/>
          <w:szCs w:val="32"/>
          <w:lang w:val="en-GB"/>
        </w:rPr>
      </w:pPr>
    </w:p>
    <w:p w14:paraId="423AFB3B" w14:textId="77777777" w:rsidR="00AA0092" w:rsidRPr="000723C2" w:rsidRDefault="00AA0092" w:rsidP="00640FB7">
      <w:pPr>
        <w:spacing w:before="120" w:after="120"/>
        <w:rPr>
          <w:rFonts w:ascii="Times New Roman" w:hAnsi="Times New Roman"/>
          <w:b/>
          <w:sz w:val="28"/>
          <w:szCs w:val="32"/>
          <w:lang w:val="en-GB"/>
        </w:rPr>
      </w:pPr>
    </w:p>
    <w:p w14:paraId="79E29A5A" w14:textId="77777777" w:rsidR="00AA0092" w:rsidRPr="000723C2" w:rsidRDefault="00AA0092" w:rsidP="00640FB7">
      <w:pPr>
        <w:spacing w:before="120" w:after="120"/>
        <w:rPr>
          <w:rFonts w:ascii="Times New Roman" w:hAnsi="Times New Roman"/>
          <w:b/>
          <w:sz w:val="28"/>
          <w:szCs w:val="32"/>
          <w:lang w:val="en-GB"/>
        </w:rPr>
      </w:pPr>
    </w:p>
    <w:p w14:paraId="4301EB46" w14:textId="77777777" w:rsidR="00AA0092" w:rsidRPr="000723C2" w:rsidRDefault="00AA0092" w:rsidP="00640FB7">
      <w:pPr>
        <w:spacing w:before="120" w:after="120"/>
        <w:rPr>
          <w:rFonts w:ascii="Times New Roman" w:hAnsi="Times New Roman"/>
          <w:b/>
          <w:sz w:val="28"/>
          <w:szCs w:val="32"/>
          <w:lang w:val="en-GB"/>
        </w:rPr>
      </w:pPr>
    </w:p>
    <w:p w14:paraId="43B8FB0B" w14:textId="77777777" w:rsidR="00AA0092" w:rsidRPr="000723C2" w:rsidRDefault="00AA0092" w:rsidP="00640FB7">
      <w:pPr>
        <w:spacing w:before="120" w:after="120"/>
        <w:rPr>
          <w:rFonts w:ascii="Times New Roman" w:hAnsi="Times New Roman"/>
          <w:b/>
          <w:sz w:val="28"/>
          <w:szCs w:val="32"/>
          <w:lang w:val="en-GB"/>
        </w:rPr>
      </w:pPr>
    </w:p>
    <w:p w14:paraId="17FF831E" w14:textId="77777777" w:rsidR="00AA0092" w:rsidRPr="000723C2" w:rsidRDefault="00AA0092" w:rsidP="00640FB7">
      <w:pPr>
        <w:spacing w:before="120" w:after="120"/>
        <w:rPr>
          <w:rFonts w:ascii="Times New Roman" w:hAnsi="Times New Roman"/>
          <w:b/>
          <w:sz w:val="28"/>
          <w:szCs w:val="32"/>
          <w:lang w:val="en-GB"/>
        </w:rPr>
      </w:pPr>
    </w:p>
    <w:p w14:paraId="365D5693" w14:textId="77777777" w:rsidR="00AA0092" w:rsidRPr="000723C2" w:rsidRDefault="00AA0092" w:rsidP="00640FB7">
      <w:pPr>
        <w:spacing w:before="120" w:after="120"/>
        <w:rPr>
          <w:rFonts w:ascii="Times New Roman" w:hAnsi="Times New Roman"/>
          <w:b/>
          <w:sz w:val="28"/>
          <w:szCs w:val="32"/>
          <w:lang w:val="en-GB"/>
        </w:rPr>
      </w:pPr>
    </w:p>
    <w:p w14:paraId="2035795F" w14:textId="4055CB19" w:rsidR="0017170C" w:rsidRPr="000723C2" w:rsidRDefault="0017170C" w:rsidP="00640FB7">
      <w:pPr>
        <w:spacing w:before="120" w:after="120"/>
        <w:rPr>
          <w:rFonts w:ascii="Times New Roman" w:hAnsi="Times New Roman"/>
          <w:b/>
          <w:sz w:val="28"/>
          <w:szCs w:val="32"/>
          <w:lang w:val="en-GB"/>
        </w:rPr>
      </w:pPr>
      <w:r w:rsidRPr="000723C2">
        <w:rPr>
          <w:noProof/>
          <w:lang w:val="en-IN" w:eastAsia="en-IN"/>
          <w14:ligatures w14:val="standardContextual"/>
        </w:rPr>
        <w:drawing>
          <wp:inline distT="0" distB="0" distL="0" distR="0" wp14:anchorId="019A8B8F" wp14:editId="20E88CF2">
            <wp:extent cx="5619369" cy="4306570"/>
            <wp:effectExtent l="0" t="0" r="635" b="0"/>
            <wp:docPr id="15078993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27272" cy="4312626"/>
                    </a:xfrm>
                    <a:prstGeom prst="rect">
                      <a:avLst/>
                    </a:prstGeom>
                    <a:noFill/>
                    <a:ln>
                      <a:noFill/>
                    </a:ln>
                  </pic:spPr>
                </pic:pic>
              </a:graphicData>
            </a:graphic>
          </wp:inline>
        </w:drawing>
      </w:r>
    </w:p>
    <w:p w14:paraId="3E7DF699"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Cs/>
          <w:sz w:val="24"/>
          <w:szCs w:val="28"/>
          <w:lang w:val="en-GB"/>
        </w:rPr>
        <w:t xml:space="preserve">Fig. S9 </w:t>
      </w:r>
      <w:r w:rsidRPr="000723C2">
        <w:rPr>
          <w:rFonts w:ascii="Times New Roman" w:hAnsi="Times New Roman"/>
          <w:sz w:val="24"/>
          <w:szCs w:val="28"/>
          <w:lang w:val="en-GB"/>
        </w:rPr>
        <w:t>Chemical and electrochemical evidence for PI PEM tunability.</w:t>
      </w:r>
      <w:r w:rsidRPr="000723C2">
        <w:rPr>
          <w:rFonts w:ascii="Times New Roman" w:hAnsi="Times New Roman"/>
          <w:bCs/>
          <w:sz w:val="24"/>
          <w:szCs w:val="28"/>
          <w:lang w:val="en-GB"/>
        </w:rPr>
        <w:t xml:space="preserve"> </w:t>
      </w:r>
      <w:r w:rsidRPr="000723C2">
        <w:rPr>
          <w:rFonts w:ascii="Times New Roman" w:hAnsi="Times New Roman"/>
          <w:b/>
          <w:sz w:val="24"/>
          <w:szCs w:val="28"/>
          <w:lang w:val="en-GB"/>
        </w:rPr>
        <w:t>a</w:t>
      </w:r>
      <w:r w:rsidRPr="000723C2">
        <w:rPr>
          <w:rFonts w:ascii="Times New Roman" w:hAnsi="Times New Roman"/>
          <w:bCs/>
          <w:sz w:val="24"/>
          <w:szCs w:val="28"/>
          <w:lang w:val="en-GB"/>
        </w:rPr>
        <w:t xml:space="preserve"> FTIR spectra of pristine (black) and NaOH-treated (red) PI membranes. The treatment reduces characteristic imide peaks (asymmetric C=O stretch at ~1775 cm⁻¹, symmetric at ~1720 cm⁻¹) and introduces new bands (broad O–H/N–H at 3200–3600 cm⁻¹, amide C=O at ~1650 cm⁻¹, COO⁻ at ~1420 cm⁻¹), confirming the partial ring-opening into poly(amic acid) and carboxylate species that enhance hydrophilicity and proton conduction</w:t>
      </w:r>
      <w:r w:rsidRPr="000723C2">
        <w:rPr>
          <w:rFonts w:ascii="Times New Roman" w:hAnsi="Times New Roman"/>
          <w:sz w:val="24"/>
          <w:szCs w:val="28"/>
          <w:lang w:val="en-GB"/>
        </w:rPr>
        <w:t xml:space="preserve">. </w:t>
      </w:r>
      <w:r w:rsidRPr="000723C2">
        <w:rPr>
          <w:rFonts w:ascii="Times New Roman" w:hAnsi="Times New Roman"/>
          <w:b/>
          <w:sz w:val="24"/>
          <w:szCs w:val="28"/>
          <w:lang w:val="en-GB"/>
        </w:rPr>
        <w:t>b</w:t>
      </w:r>
      <w:r w:rsidRPr="000723C2">
        <w:rPr>
          <w:rFonts w:ascii="Times New Roman" w:hAnsi="Times New Roman"/>
          <w:sz w:val="24"/>
          <w:szCs w:val="28"/>
          <w:lang w:val="en-GB"/>
        </w:rPr>
        <w:t xml:space="preserve"> Electrochemical impedance spectroscopy (Bode plots, |Z| vs. frequency) provides the underlying data for the performance metrics in Fig. 4d. The plots show the systematic reduction of membrane resistance with NaOH treatment time (left, corresponding to Fig. 4d, ii) and benchmark the performance of the optimally treated PI against commercial standards (right, corresponding to Fig. 4d, iii). </w:t>
      </w:r>
      <w:r w:rsidRPr="000723C2">
        <w:rPr>
          <w:rFonts w:ascii="Times New Roman" w:hAnsi="Times New Roman"/>
          <w:bCs/>
          <w:sz w:val="24"/>
          <w:szCs w:val="28"/>
          <w:lang w:val="en-GB"/>
        </w:rPr>
        <w:t>c</w:t>
      </w:r>
      <w:r w:rsidRPr="000723C2">
        <w:rPr>
          <w:rFonts w:ascii="Times New Roman" w:hAnsi="Times New Roman"/>
          <w:sz w:val="24"/>
          <w:szCs w:val="28"/>
          <w:lang w:val="en-GB"/>
        </w:rPr>
        <w:t xml:space="preserve">  Swelling dynamics of PI membranes. Time-resolved swelling of pristine (black) and NaOH-treated (red) PI membranes measured by optical tracking of metal markers over 24 h immersion in aqueous electrolyte. Pristine membranes exhibited 1.5–1.7% swelling, while treated membranes showed 2.1–2.3% swelling.  The moderate expansion remains within the elastic limit of integrated gold electrodes, confirming mechanical compatibility.</w:t>
      </w:r>
    </w:p>
    <w:p w14:paraId="016A1132" w14:textId="77777777" w:rsidR="0017170C" w:rsidRPr="000723C2" w:rsidRDefault="0017170C" w:rsidP="00640FB7">
      <w:pPr>
        <w:spacing w:before="120" w:after="120"/>
        <w:rPr>
          <w:rFonts w:ascii="Times New Roman" w:hAnsi="Times New Roman"/>
          <w:b/>
          <w:bCs/>
          <w:sz w:val="24"/>
          <w:lang w:val="en-GB"/>
        </w:rPr>
      </w:pPr>
    </w:p>
    <w:p w14:paraId="5D2254D3"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
          <w:bCs/>
          <w:noProof/>
          <w:sz w:val="24"/>
          <w:lang w:val="en-IN" w:eastAsia="en-IN"/>
        </w:rPr>
        <w:lastRenderedPageBreak/>
        <w:drawing>
          <wp:inline distT="0" distB="0" distL="0" distR="0" wp14:anchorId="1473E8E6" wp14:editId="3DBA7B63">
            <wp:extent cx="5671185" cy="2481715"/>
            <wp:effectExtent l="0" t="0" r="5715" b="0"/>
            <wp:docPr id="8073271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2738" cy="2491147"/>
                    </a:xfrm>
                    <a:prstGeom prst="rect">
                      <a:avLst/>
                    </a:prstGeom>
                    <a:noFill/>
                    <a:ln>
                      <a:noFill/>
                    </a:ln>
                  </pic:spPr>
                </pic:pic>
              </a:graphicData>
            </a:graphic>
          </wp:inline>
        </w:drawing>
      </w:r>
    </w:p>
    <w:p w14:paraId="091CFC32" w14:textId="77777777" w:rsidR="0017170C" w:rsidRPr="000723C2" w:rsidRDefault="0017170C" w:rsidP="00640FB7">
      <w:pPr>
        <w:spacing w:before="120" w:after="120"/>
        <w:rPr>
          <w:rFonts w:ascii="Times New Roman" w:hAnsi="Times New Roman"/>
          <w:sz w:val="24"/>
          <w:szCs w:val="28"/>
          <w:lang w:val="en-GB"/>
        </w:rPr>
      </w:pPr>
      <w:r w:rsidRPr="000723C2">
        <w:rPr>
          <w:rFonts w:ascii="Times New Roman" w:hAnsi="Times New Roman"/>
          <w:b/>
          <w:sz w:val="24"/>
          <w:szCs w:val="28"/>
          <w:lang w:val="en-GB"/>
        </w:rPr>
        <w:t>Fig. S10</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Influence of exogenous mediator concentration on system performance.</w:t>
      </w:r>
      <w:r w:rsidRPr="000723C2">
        <w:rPr>
          <w:rFonts w:ascii="Times New Roman" w:hAnsi="Times New Roman"/>
          <w:bCs/>
          <w:sz w:val="24"/>
          <w:szCs w:val="28"/>
          <w:lang w:val="en-GB"/>
        </w:rPr>
        <w:t xml:space="preserve"> </w:t>
      </w:r>
      <w:r w:rsidRPr="000723C2">
        <w:rPr>
          <w:rFonts w:ascii="Times New Roman" w:hAnsi="Times New Roman"/>
          <w:b/>
          <w:sz w:val="24"/>
          <w:szCs w:val="28"/>
          <w:lang w:val="en-GB"/>
        </w:rPr>
        <w:t>a</w:t>
      </w:r>
      <w:r w:rsidRPr="000723C2">
        <w:rPr>
          <w:rFonts w:ascii="Times New Roman" w:hAnsi="Times New Roman"/>
          <w:sz w:val="24"/>
          <w:szCs w:val="28"/>
          <w:lang w:val="en-GB"/>
        </w:rPr>
        <w:t xml:space="preserve"> </w:t>
      </w:r>
      <w:r w:rsidRPr="000723C2">
        <w:rPr>
          <w:rFonts w:ascii="Times New Roman" w:hAnsi="Times New Roman"/>
          <w:bCs/>
          <w:sz w:val="24"/>
          <w:szCs w:val="28"/>
          <w:lang w:val="en-GB"/>
        </w:rPr>
        <w:t xml:space="preserve">Photographs of methylene blue solutions, showing the oxidized (blue, top) and reduced (colorless, bottom) states across a concentration gradient. The visible color transition confirms active redox cycling within the operational range. </w:t>
      </w:r>
      <w:r w:rsidRPr="000723C2">
        <w:rPr>
          <w:rFonts w:ascii="Times New Roman" w:hAnsi="Times New Roman"/>
          <w:b/>
          <w:sz w:val="24"/>
          <w:szCs w:val="28"/>
          <w:lang w:val="en-GB"/>
        </w:rPr>
        <w:t>b</w:t>
      </w:r>
      <w:r w:rsidRPr="000723C2">
        <w:rPr>
          <w:rFonts w:ascii="Times New Roman" w:hAnsi="Times New Roman"/>
          <w:bCs/>
          <w:sz w:val="24"/>
          <w:szCs w:val="28"/>
          <w:lang w:val="en-GB"/>
        </w:rPr>
        <w:t xml:space="preserve"> Polarization and power density curves quantifying the performance window. Optimal output occurs at mediator concentrations of 1.25 × 10⁻³ M to 0.025 M. Performance declines at lower concentrations due to insufficient electron transfer and at higher concentrations (≥0.05 M) due to cytotoxic effects.</w:t>
      </w:r>
    </w:p>
    <w:p w14:paraId="049FF675"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
          <w:bCs/>
          <w:noProof/>
          <w:sz w:val="24"/>
          <w:lang w:val="en-IN" w:eastAsia="en-IN"/>
        </w:rPr>
        <w:drawing>
          <wp:inline distT="0" distB="0" distL="0" distR="0" wp14:anchorId="361C4D29" wp14:editId="76C8E4EC">
            <wp:extent cx="5667142" cy="4744085"/>
            <wp:effectExtent l="0" t="0" r="0" b="0"/>
            <wp:docPr id="128579198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72242" cy="4748355"/>
                    </a:xfrm>
                    <a:prstGeom prst="rect">
                      <a:avLst/>
                    </a:prstGeom>
                    <a:noFill/>
                    <a:ln>
                      <a:noFill/>
                    </a:ln>
                  </pic:spPr>
                </pic:pic>
              </a:graphicData>
            </a:graphic>
          </wp:inline>
        </w:drawing>
      </w:r>
    </w:p>
    <w:p w14:paraId="07BEA286"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S11</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Electrode material and surface area optimization. Polarization and corresponding power density curves for gold (Au) and graphite (C) electrodes of increasing surface area (S1–</w:t>
      </w:r>
      <w:r w:rsidRPr="000723C2">
        <w:rPr>
          <w:rFonts w:ascii="Times New Roman" w:hAnsi="Times New Roman"/>
          <w:sz w:val="24"/>
          <w:szCs w:val="28"/>
          <w:lang w:val="en-GB"/>
        </w:rPr>
        <w:lastRenderedPageBreak/>
        <w:t>S4). The data demonstrate that enlarging the anode surface area markedly improves current and power output, with Au electrodes consistently outperforming graphite. Cathode enlargement provided minimal performance gains. These results directly informed the selection of Au and the prioritization of anode area in the coaxial µMFC design.</w:t>
      </w:r>
    </w:p>
    <w:p w14:paraId="06C9E97D" w14:textId="77777777" w:rsidR="0017170C" w:rsidRPr="000723C2" w:rsidRDefault="0017170C" w:rsidP="00640FB7">
      <w:pPr>
        <w:spacing w:before="120" w:after="120"/>
        <w:rPr>
          <w:rFonts w:ascii="Times New Roman" w:hAnsi="Times New Roman"/>
          <w:b/>
          <w:sz w:val="28"/>
          <w:szCs w:val="28"/>
          <w:lang w:val="en-GB"/>
        </w:rPr>
      </w:pPr>
      <w:r w:rsidRPr="000723C2">
        <w:rPr>
          <w:noProof/>
          <w:lang w:val="en-IN" w:eastAsia="en-IN"/>
        </w:rPr>
        <w:drawing>
          <wp:inline distT="0" distB="0" distL="0" distR="0" wp14:anchorId="1403396F" wp14:editId="5ABF0900">
            <wp:extent cx="5696111" cy="3900805"/>
            <wp:effectExtent l="0" t="0" r="0" b="4445"/>
            <wp:docPr id="173270216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1075"/>
                    <a:stretch>
                      <a:fillRect/>
                    </a:stretch>
                  </pic:blipFill>
                  <pic:spPr bwMode="auto">
                    <a:xfrm>
                      <a:off x="0" y="0"/>
                      <a:ext cx="5708276" cy="3909136"/>
                    </a:xfrm>
                    <a:prstGeom prst="rect">
                      <a:avLst/>
                    </a:prstGeom>
                    <a:noFill/>
                    <a:ln>
                      <a:noFill/>
                    </a:ln>
                    <a:extLst>
                      <a:ext uri="{53640926-AAD7-44D8-BBD7-CCE9431645EC}">
                        <a14:shadowObscured xmlns:a14="http://schemas.microsoft.com/office/drawing/2010/main"/>
                      </a:ext>
                    </a:extLst>
                  </pic:spPr>
                </pic:pic>
              </a:graphicData>
            </a:graphic>
          </wp:inline>
        </w:drawing>
      </w:r>
    </w:p>
    <w:p w14:paraId="0B0F0C9F"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S12</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Independent optimization of PEM resistance and mediator concentration. Polarization and power density curves for PI proton-exchange membranes (PEMs) of varying resistance (70 Ω to 1 MΩ) across a range of methylene blue concentrations. The data demonstrate two independent design axes: (1) The optimal mediator concentration window (~0.0125–0.025 M) is consistent across all PEM resistances. (2) Within this optimal window, the absolute performance is exclusively dictated by PEM resistance, with low-resistance membranes (~70-250 Ω) enabling the highest power output.</w:t>
      </w:r>
    </w:p>
    <w:p w14:paraId="2308A1B6" w14:textId="7777777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noProof/>
          <w:sz w:val="24"/>
          <w:szCs w:val="28"/>
          <w:lang w:val="en-IN" w:eastAsia="en-IN"/>
        </w:rPr>
        <w:drawing>
          <wp:inline distT="0" distB="0" distL="0" distR="0" wp14:anchorId="6DC92F3F" wp14:editId="5A267374">
            <wp:extent cx="5842635" cy="1616335"/>
            <wp:effectExtent l="0" t="0" r="5715" b="3175"/>
            <wp:docPr id="14199968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60672" cy="1621325"/>
                    </a:xfrm>
                    <a:prstGeom prst="rect">
                      <a:avLst/>
                    </a:prstGeom>
                    <a:noFill/>
                    <a:ln>
                      <a:noFill/>
                    </a:ln>
                  </pic:spPr>
                </pic:pic>
              </a:graphicData>
            </a:graphic>
          </wp:inline>
        </w:drawing>
      </w:r>
    </w:p>
    <w:p w14:paraId="1D30935E" w14:textId="10248897" w:rsidR="0017170C" w:rsidRPr="000723C2" w:rsidRDefault="0017170C" w:rsidP="00640FB7">
      <w:pPr>
        <w:spacing w:before="120" w:after="120"/>
        <w:rPr>
          <w:rFonts w:ascii="Times New Roman" w:hAnsi="Times New Roman"/>
          <w:b/>
          <w:sz w:val="24"/>
          <w:szCs w:val="28"/>
          <w:lang w:val="en-GB"/>
        </w:rPr>
      </w:pPr>
      <w:r w:rsidRPr="000723C2">
        <w:rPr>
          <w:rFonts w:ascii="Times New Roman" w:hAnsi="Times New Roman"/>
          <w:b/>
          <w:sz w:val="24"/>
          <w:szCs w:val="28"/>
          <w:lang w:val="en-GB"/>
        </w:rPr>
        <w:t>Fig. S13</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Biofouling and mediator crossover characterization.</w:t>
      </w:r>
      <w:r w:rsidRPr="000723C2">
        <w:rPr>
          <w:rFonts w:ascii="Times New Roman" w:hAnsi="Times New Roman"/>
          <w:bCs/>
          <w:sz w:val="24"/>
          <w:szCs w:val="28"/>
          <w:lang w:val="en-GB"/>
        </w:rPr>
        <w:t xml:space="preserve"> a</w:t>
      </w:r>
      <w:r w:rsidRPr="000723C2">
        <w:rPr>
          <w:rFonts w:ascii="Times New Roman" w:hAnsi="Times New Roman"/>
          <w:sz w:val="24"/>
          <w:lang w:val="en-GB"/>
        </w:rPr>
        <w:t xml:space="preserve"> SEM images of PEM surfaces under clean conditions (</w:t>
      </w:r>
      <w:r w:rsidRPr="000723C2">
        <w:rPr>
          <w:rFonts w:ascii="Times New Roman" w:hAnsi="Times New Roman"/>
          <w:i/>
          <w:iCs/>
          <w:sz w:val="24"/>
          <w:lang w:val="en-GB"/>
        </w:rPr>
        <w:t>i</w:t>
      </w:r>
      <w:r w:rsidRPr="000723C2">
        <w:rPr>
          <w:rFonts w:ascii="Times New Roman" w:hAnsi="Times New Roman"/>
          <w:sz w:val="24"/>
          <w:lang w:val="en-GB"/>
        </w:rPr>
        <w:t>) and after exposure to Mode 1 (</w:t>
      </w:r>
      <w:r w:rsidRPr="000723C2">
        <w:rPr>
          <w:rFonts w:ascii="Times New Roman" w:hAnsi="Times New Roman"/>
          <w:i/>
          <w:iCs/>
          <w:sz w:val="24"/>
          <w:lang w:val="en-GB"/>
        </w:rPr>
        <w:t>ii</w:t>
      </w:r>
      <w:r w:rsidRPr="000723C2">
        <w:rPr>
          <w:rFonts w:ascii="Times New Roman" w:hAnsi="Times New Roman"/>
          <w:sz w:val="24"/>
          <w:lang w:val="en-GB"/>
        </w:rPr>
        <w:t>) and Mode 2 (</w:t>
      </w:r>
      <w:r w:rsidRPr="000723C2">
        <w:rPr>
          <w:rFonts w:ascii="Times New Roman" w:hAnsi="Times New Roman"/>
          <w:i/>
          <w:iCs/>
          <w:sz w:val="24"/>
          <w:lang w:val="en-GB"/>
        </w:rPr>
        <w:t>iii</w:t>
      </w:r>
      <w:r w:rsidRPr="000723C2">
        <w:rPr>
          <w:rFonts w:ascii="Times New Roman" w:hAnsi="Times New Roman"/>
          <w:sz w:val="24"/>
          <w:lang w:val="en-GB"/>
        </w:rPr>
        <w:t xml:space="preserve">). Mode 1 shows extensive surface coverage and biomass aggregates, whereas Mode 2 retains the underlying membrane topography, indicating absence of biofilm formation. </w:t>
      </w:r>
      <w:r w:rsidRPr="000723C2">
        <w:rPr>
          <w:rFonts w:ascii="Times New Roman" w:hAnsi="Times New Roman"/>
          <w:bCs/>
          <w:sz w:val="24"/>
          <w:lang w:val="en-GB"/>
        </w:rPr>
        <w:t>b</w:t>
      </w:r>
      <w:r w:rsidRPr="000723C2">
        <w:rPr>
          <w:rFonts w:ascii="Times New Roman" w:hAnsi="Times New Roman"/>
          <w:sz w:val="24"/>
          <w:lang w:val="en-GB"/>
        </w:rPr>
        <w:t xml:space="preserve"> EM crossover over 24 h for PI PEM (~200 Ω), PI PEM (~270 Ω), and Nafion™ 117; optimized PI PEM (~270 Ω) blocks mediator transport below detection limit.</w:t>
      </w:r>
    </w:p>
    <w:p w14:paraId="6B92453A" w14:textId="77777777" w:rsidR="0017170C" w:rsidRPr="000723C2" w:rsidRDefault="0017170C" w:rsidP="00640FB7">
      <w:pPr>
        <w:spacing w:before="120" w:after="120"/>
        <w:rPr>
          <w:rFonts w:ascii="Times New Roman" w:hAnsi="Times New Roman"/>
          <w:b/>
          <w:sz w:val="24"/>
          <w:szCs w:val="28"/>
          <w:lang w:val="en-GB"/>
        </w:rPr>
      </w:pPr>
    </w:p>
    <w:p w14:paraId="6576B83B" w14:textId="77777777" w:rsidR="0017170C" w:rsidRPr="000723C2" w:rsidRDefault="0017170C" w:rsidP="00AA0092">
      <w:pPr>
        <w:spacing w:before="120" w:after="120"/>
        <w:jc w:val="center"/>
        <w:rPr>
          <w:rFonts w:ascii="Times New Roman" w:hAnsi="Times New Roman"/>
          <w:b/>
          <w:sz w:val="24"/>
          <w:szCs w:val="28"/>
          <w:lang w:val="en-GB"/>
        </w:rPr>
      </w:pPr>
      <w:r w:rsidRPr="000723C2">
        <w:rPr>
          <w:noProof/>
          <w:lang w:val="en-IN" w:eastAsia="en-IN"/>
          <w14:ligatures w14:val="standardContextual"/>
        </w:rPr>
        <w:lastRenderedPageBreak/>
        <w:drawing>
          <wp:inline distT="0" distB="0" distL="0" distR="0" wp14:anchorId="102814D1" wp14:editId="42122D82">
            <wp:extent cx="5124735" cy="2820451"/>
            <wp:effectExtent l="0" t="0" r="0" b="0"/>
            <wp:docPr id="65563195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56842" cy="2838122"/>
                    </a:xfrm>
                    <a:prstGeom prst="rect">
                      <a:avLst/>
                    </a:prstGeom>
                    <a:noFill/>
                    <a:ln>
                      <a:noFill/>
                    </a:ln>
                  </pic:spPr>
                </pic:pic>
              </a:graphicData>
            </a:graphic>
          </wp:inline>
        </w:drawing>
      </w:r>
    </w:p>
    <w:p w14:paraId="16869A82" w14:textId="4E4851C7" w:rsidR="0017170C" w:rsidRPr="000723C2" w:rsidRDefault="0017170C" w:rsidP="00640FB7">
      <w:pPr>
        <w:spacing w:before="120" w:after="120"/>
        <w:rPr>
          <w:rFonts w:ascii="Times New Roman" w:hAnsi="Times New Roman"/>
          <w:b/>
          <w:sz w:val="24"/>
          <w:lang w:val="en-GB"/>
        </w:rPr>
      </w:pPr>
      <w:r w:rsidRPr="000723C2">
        <w:rPr>
          <w:rFonts w:ascii="Times New Roman" w:hAnsi="Times New Roman"/>
          <w:b/>
          <w:sz w:val="24"/>
          <w:szCs w:val="28"/>
          <w:lang w:val="en-GB"/>
        </w:rPr>
        <w:t>Fig. S14</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EIS characterization of PEMs.</w:t>
      </w:r>
      <w:r w:rsidRPr="000723C2">
        <w:rPr>
          <w:rFonts w:ascii="Times New Roman" w:hAnsi="Times New Roman"/>
          <w:bCs/>
          <w:sz w:val="24"/>
          <w:szCs w:val="28"/>
          <w:lang w:val="en-GB"/>
        </w:rPr>
        <w:t xml:space="preserve"> </w:t>
      </w:r>
      <w:r w:rsidRPr="000723C2">
        <w:rPr>
          <w:rFonts w:ascii="Times New Roman" w:hAnsi="Times New Roman"/>
          <w:sz w:val="24"/>
          <w:szCs w:val="28"/>
          <w:lang w:val="en-GB"/>
        </w:rPr>
        <w:t xml:space="preserve">Bode plots (top row, impedance magnitude |Z| vs. frequency) and capacitance spectra (bottom row) directly compare the three PEMs: </w:t>
      </w:r>
      <w:r w:rsidRPr="000723C2">
        <w:rPr>
          <w:rFonts w:ascii="Times New Roman" w:hAnsi="Times New Roman"/>
          <w:sz w:val="24"/>
          <w:lang w:val="en-GB"/>
        </w:rPr>
        <w:t>PI PEM ~200 Ω (left), PI PEM ~270 Ω (central) and Nafion™ 117 PEM.</w:t>
      </w:r>
    </w:p>
    <w:p w14:paraId="454EA89B" w14:textId="3AF25065" w:rsidR="0017170C" w:rsidRPr="000723C2" w:rsidRDefault="0017170C" w:rsidP="00640FB7">
      <w:pPr>
        <w:spacing w:before="120" w:after="120"/>
        <w:rPr>
          <w:rFonts w:ascii="Times New Roman" w:eastAsia="MS Mincho" w:hAnsi="Times New Roman"/>
          <w:sz w:val="24"/>
          <w:lang w:val="en-GB" w:eastAsia="ja-JP"/>
        </w:rPr>
      </w:pPr>
      <w:r w:rsidRPr="000723C2">
        <w:rPr>
          <w:rFonts w:ascii="Times New Roman" w:eastAsia="MS Mincho" w:hAnsi="Times New Roman"/>
          <w:b/>
          <w:bCs/>
          <w:sz w:val="28"/>
          <w:szCs w:val="24"/>
          <w:lang w:val="en-GB" w:eastAsia="ja-JP"/>
        </w:rPr>
        <w:t>Supplementary Video</w:t>
      </w:r>
      <w:r w:rsidR="00AA0092" w:rsidRPr="000723C2">
        <w:rPr>
          <w:rFonts w:ascii="Times New Roman" w:eastAsia="MS Mincho" w:hAnsi="Times New Roman"/>
          <w:b/>
          <w:bCs/>
          <w:sz w:val="28"/>
          <w:szCs w:val="24"/>
          <w:lang w:val="en-GB" w:eastAsia="ja-JP"/>
        </w:rPr>
        <w:t>s</w:t>
      </w:r>
      <w:r w:rsidRPr="000723C2">
        <w:rPr>
          <w:rFonts w:ascii="Times New Roman" w:eastAsia="MS Mincho" w:hAnsi="Times New Roman"/>
          <w:b/>
          <w:bCs/>
          <w:sz w:val="28"/>
          <w:szCs w:val="24"/>
          <w:lang w:val="en-GB" w:eastAsia="ja-JP"/>
        </w:rPr>
        <w:t xml:space="preserve"> </w:t>
      </w:r>
    </w:p>
    <w:p w14:paraId="75A709B6" w14:textId="2CA194B8" w:rsidR="0017170C" w:rsidRPr="000723C2" w:rsidRDefault="0017170C" w:rsidP="00640FB7">
      <w:pPr>
        <w:spacing w:before="120" w:after="120"/>
        <w:rPr>
          <w:rFonts w:ascii="Times New Roman" w:eastAsia="MS Mincho" w:hAnsi="Times New Roman"/>
          <w:sz w:val="24"/>
          <w:lang w:val="en-GB" w:eastAsia="ja-JP"/>
        </w:rPr>
      </w:pPr>
      <w:r w:rsidRPr="000723C2">
        <w:rPr>
          <w:rFonts w:ascii="Times New Roman" w:eastAsia="MS Mincho" w:hAnsi="Times New Roman"/>
          <w:b/>
          <w:bCs/>
          <w:sz w:val="24"/>
          <w:lang w:val="en-GB" w:eastAsia="ja-JP"/>
        </w:rPr>
        <w:t xml:space="preserve">Video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1</w:t>
      </w:r>
      <w:r w:rsidRPr="000723C2">
        <w:rPr>
          <w:rFonts w:ascii="Times New Roman" w:eastAsia="MS Mincho" w:hAnsi="Times New Roman"/>
          <w:sz w:val="24"/>
          <w:lang w:val="en-GB" w:eastAsia="ja-JP"/>
        </w:rPr>
        <w:t xml:space="preserve"> Independent and stable fluidic operation of inner and outer channels.</w:t>
      </w:r>
    </w:p>
    <w:p w14:paraId="242C8F4B" w14:textId="77777777" w:rsidR="0017170C" w:rsidRPr="000723C2" w:rsidRDefault="0017170C" w:rsidP="00640FB7">
      <w:pPr>
        <w:spacing w:before="120" w:after="120"/>
        <w:rPr>
          <w:rFonts w:ascii="Times New Roman" w:eastAsia="MS Mincho" w:hAnsi="Times New Roman"/>
          <w:b/>
          <w:bCs/>
          <w:sz w:val="24"/>
          <w:lang w:val="en-GB" w:eastAsia="ja-JP"/>
        </w:rPr>
      </w:pPr>
      <w:r w:rsidRPr="000723C2">
        <w:rPr>
          <w:rFonts w:ascii="Times New Roman" w:eastAsia="MS Mincho" w:hAnsi="Times New Roman"/>
          <w:bCs/>
          <w:sz w:val="24"/>
          <w:lang w:val="en-GB" w:eastAsia="ja-JP"/>
        </w:rPr>
        <w:t>The video demonstrates the integrity of the integrated microfluidic platform, showing independent injection of orange (inner channel) and green (outer channel) fluid streams. Flow is pulsed in forward and reverse directions, confirming complete isolation between the two coaxial compartments with no observable mixing, as illustrated in the connection scheme in Fig. 3b. (Playback speed: 2x real-time)</w:t>
      </w:r>
    </w:p>
    <w:p w14:paraId="006B6677" w14:textId="4DD32F09" w:rsidR="0017170C" w:rsidRPr="000723C2" w:rsidRDefault="0017170C" w:rsidP="00640FB7">
      <w:pPr>
        <w:spacing w:before="120" w:after="120"/>
        <w:rPr>
          <w:rFonts w:ascii="Times New Roman" w:eastAsia="MS Mincho" w:hAnsi="Times New Roman"/>
          <w:bCs/>
          <w:sz w:val="24"/>
          <w:lang w:val="en-GB" w:eastAsia="ja-JP"/>
        </w:rPr>
      </w:pPr>
      <w:r w:rsidRPr="000723C2">
        <w:rPr>
          <w:rFonts w:ascii="Times New Roman" w:eastAsia="MS Mincho" w:hAnsi="Times New Roman"/>
          <w:b/>
          <w:bCs/>
          <w:sz w:val="24"/>
          <w:lang w:val="en-GB" w:eastAsia="ja-JP"/>
        </w:rPr>
        <w:t xml:space="preserve">Video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2</w:t>
      </w:r>
      <w:r w:rsidRPr="000723C2">
        <w:rPr>
          <w:rFonts w:ascii="Times New Roman" w:eastAsia="MS Mincho" w:hAnsi="Times New Roman"/>
          <w:sz w:val="24"/>
          <w:lang w:val="en-GB" w:eastAsia="ja-JP"/>
        </w:rPr>
        <w:t xml:space="preserve"> </w:t>
      </w:r>
      <w:r w:rsidRPr="000723C2">
        <w:rPr>
          <w:rFonts w:ascii="Times New Roman" w:eastAsia="MS Mincho" w:hAnsi="Times New Roman"/>
          <w:bCs/>
          <w:sz w:val="24"/>
          <w:lang w:val="en-GB" w:eastAsia="ja-JP"/>
        </w:rPr>
        <w:t>Controlled fluidic transfer between inner and outer channels.</w:t>
      </w:r>
    </w:p>
    <w:p w14:paraId="33469EF3" w14:textId="77777777" w:rsidR="0017170C" w:rsidRPr="000723C2" w:rsidRDefault="0017170C" w:rsidP="00640FB7">
      <w:pPr>
        <w:spacing w:before="120" w:after="120"/>
        <w:rPr>
          <w:rFonts w:ascii="Times New Roman" w:eastAsia="MS Mincho" w:hAnsi="Times New Roman"/>
          <w:b/>
          <w:bCs/>
          <w:sz w:val="24"/>
          <w:lang w:val="en-GB" w:eastAsia="ja-JP"/>
        </w:rPr>
      </w:pPr>
      <w:r w:rsidRPr="000723C2">
        <w:rPr>
          <w:rFonts w:ascii="Times New Roman" w:eastAsia="MS Mincho" w:hAnsi="Times New Roman"/>
          <w:bCs/>
          <w:sz w:val="24"/>
          <w:lang w:val="en-GB" w:eastAsia="ja-JP"/>
        </w:rPr>
        <w:t>This video illustrates the designed fluidic routing capability. A red dye introduced into the inner tube transfers to the outer tube via an external interconnection, subsequently flowing in the opposite direction within the outer coaxial channel. This demonstrates programmable fluidic control within the sealed microsystem. (Playback speed: 2x real-time)</w:t>
      </w:r>
    </w:p>
    <w:p w14:paraId="11D10D77" w14:textId="6504028E" w:rsidR="0017170C" w:rsidRPr="000723C2" w:rsidRDefault="0017170C" w:rsidP="00640FB7">
      <w:pPr>
        <w:spacing w:before="120" w:after="120"/>
        <w:rPr>
          <w:rFonts w:ascii="Times New Roman" w:eastAsia="MS Mincho" w:hAnsi="Times New Roman"/>
          <w:bCs/>
          <w:sz w:val="24"/>
          <w:lang w:val="en-GB" w:eastAsia="ja-JP"/>
        </w:rPr>
      </w:pPr>
      <w:r w:rsidRPr="000723C2">
        <w:rPr>
          <w:rFonts w:ascii="Times New Roman" w:eastAsia="MS Mincho" w:hAnsi="Times New Roman"/>
          <w:b/>
          <w:bCs/>
          <w:sz w:val="24"/>
          <w:lang w:val="en-GB" w:eastAsia="ja-JP"/>
        </w:rPr>
        <w:t xml:space="preserve">Video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3</w:t>
      </w:r>
      <w:r w:rsidRPr="000723C2">
        <w:rPr>
          <w:rFonts w:ascii="Times New Roman" w:eastAsia="MS Mincho" w:hAnsi="Times New Roman"/>
          <w:sz w:val="24"/>
          <w:lang w:val="en-GB" w:eastAsia="ja-JP"/>
        </w:rPr>
        <w:t xml:space="preserve"> </w:t>
      </w:r>
      <w:r w:rsidRPr="000723C2">
        <w:rPr>
          <w:rFonts w:ascii="Times New Roman" w:eastAsia="MS Mincho" w:hAnsi="Times New Roman"/>
          <w:bCs/>
          <w:sz w:val="24"/>
          <w:lang w:val="en-GB" w:eastAsia="ja-JP"/>
        </w:rPr>
        <w:t>Independent filling of inner and outer channels in an open configuration.</w:t>
      </w:r>
    </w:p>
    <w:p w14:paraId="1BFE47A1" w14:textId="77777777" w:rsidR="0017170C" w:rsidRPr="000723C2" w:rsidRDefault="0017170C" w:rsidP="00640FB7">
      <w:pPr>
        <w:spacing w:before="120" w:after="120"/>
        <w:rPr>
          <w:rFonts w:ascii="Times New Roman" w:eastAsia="MS Mincho" w:hAnsi="Times New Roman"/>
          <w:b/>
          <w:sz w:val="24"/>
          <w:lang w:val="en-GB" w:eastAsia="ja-JP"/>
        </w:rPr>
      </w:pPr>
      <w:r w:rsidRPr="000723C2">
        <w:rPr>
          <w:rFonts w:ascii="Times New Roman" w:eastAsia="MS Mincho" w:hAnsi="Times New Roman"/>
          <w:sz w:val="24"/>
          <w:lang w:val="en-GB" w:eastAsia="ja-JP"/>
        </w:rPr>
        <w:t>Deionized water is shown independently filling the inner and outer tubes of the Swiss-roll structure, confirming the successful self-assembly of two distinct, continuous microfluidic channels. (Playback speed: 2x real-time)</w:t>
      </w:r>
    </w:p>
    <w:p w14:paraId="1DBE725A" w14:textId="082375F1" w:rsidR="0017170C" w:rsidRPr="000723C2" w:rsidRDefault="0017170C" w:rsidP="00640FB7">
      <w:pPr>
        <w:spacing w:before="120" w:after="120"/>
        <w:rPr>
          <w:rFonts w:ascii="Times New Roman" w:eastAsia="MS Mincho" w:hAnsi="Times New Roman"/>
          <w:bCs/>
          <w:sz w:val="24"/>
          <w:lang w:val="en-GB" w:eastAsia="ja-JP"/>
        </w:rPr>
      </w:pPr>
      <w:r w:rsidRPr="000723C2">
        <w:rPr>
          <w:rFonts w:ascii="Times New Roman" w:eastAsia="MS Mincho" w:hAnsi="Times New Roman"/>
          <w:b/>
          <w:bCs/>
          <w:sz w:val="24"/>
          <w:lang w:val="en-GB" w:eastAsia="ja-JP"/>
        </w:rPr>
        <w:t xml:space="preserve">Video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4</w:t>
      </w:r>
      <w:r w:rsidRPr="000723C2">
        <w:rPr>
          <w:rFonts w:ascii="Times New Roman" w:eastAsia="MS Mincho" w:hAnsi="Times New Roman"/>
          <w:sz w:val="24"/>
          <w:lang w:val="en-GB" w:eastAsia="ja-JP"/>
        </w:rPr>
        <w:t xml:space="preserve"> </w:t>
      </w:r>
      <w:r w:rsidRPr="000723C2">
        <w:rPr>
          <w:rFonts w:ascii="Times New Roman" w:eastAsia="MS Mincho" w:hAnsi="Times New Roman"/>
          <w:bCs/>
          <w:sz w:val="24"/>
          <w:lang w:val="en-GB" w:eastAsia="ja-JP"/>
        </w:rPr>
        <w:t>Sequential and controlled filling of the interwinding channels.</w:t>
      </w:r>
    </w:p>
    <w:p w14:paraId="2E35AC28" w14:textId="77777777" w:rsidR="0017170C" w:rsidRPr="000723C2" w:rsidRDefault="0017170C" w:rsidP="00640FB7">
      <w:pPr>
        <w:spacing w:before="120" w:after="120"/>
        <w:rPr>
          <w:rFonts w:ascii="Times New Roman" w:hAnsi="Times New Roman"/>
          <w:b/>
          <w:sz w:val="24"/>
          <w:lang w:val="en-GB"/>
        </w:rPr>
      </w:pPr>
      <w:r w:rsidRPr="000723C2">
        <w:rPr>
          <w:rFonts w:ascii="Times New Roman" w:hAnsi="Times New Roman"/>
          <w:sz w:val="24"/>
          <w:lang w:val="en-GB"/>
        </w:rPr>
        <w:t>In an open configuration, deionized water fills the interstitial channels between the windings in a sequential manner, as guided by the SU-8 spacer design (related to Supplementary Fig. S5b). This demonstrates controlled fluidic access to the entire 3D geometry and the potential for localized fluidic addressing. (Playback speed: 2x real-time)</w:t>
      </w:r>
    </w:p>
    <w:p w14:paraId="75945B2D" w14:textId="10066FAB" w:rsidR="0017170C" w:rsidRPr="000723C2" w:rsidRDefault="0017170C" w:rsidP="00640FB7">
      <w:pPr>
        <w:spacing w:before="120" w:after="120"/>
        <w:rPr>
          <w:rFonts w:ascii="Times New Roman" w:eastAsia="MS Mincho" w:hAnsi="Times New Roman"/>
          <w:bCs/>
          <w:sz w:val="24"/>
          <w:lang w:val="en-GB" w:eastAsia="ja-JP"/>
        </w:rPr>
      </w:pPr>
      <w:r w:rsidRPr="000723C2">
        <w:rPr>
          <w:rFonts w:ascii="Times New Roman" w:eastAsia="MS Mincho" w:hAnsi="Times New Roman"/>
          <w:b/>
          <w:bCs/>
          <w:sz w:val="24"/>
          <w:lang w:val="en-GB" w:eastAsia="ja-JP"/>
        </w:rPr>
        <w:t xml:space="preserve">Video </w:t>
      </w:r>
      <w:r w:rsidR="00AA0092" w:rsidRPr="000723C2">
        <w:rPr>
          <w:rFonts w:ascii="Times New Roman" w:eastAsia="MS Mincho" w:hAnsi="Times New Roman"/>
          <w:b/>
          <w:bCs/>
          <w:sz w:val="24"/>
          <w:lang w:val="en-GB" w:eastAsia="ja-JP"/>
        </w:rPr>
        <w:t>S</w:t>
      </w:r>
      <w:r w:rsidRPr="000723C2">
        <w:rPr>
          <w:rFonts w:ascii="Times New Roman" w:eastAsia="MS Mincho" w:hAnsi="Times New Roman"/>
          <w:b/>
          <w:bCs/>
          <w:sz w:val="24"/>
          <w:lang w:val="en-GB" w:eastAsia="ja-JP"/>
        </w:rPr>
        <w:t>5</w:t>
      </w:r>
      <w:r w:rsidRPr="000723C2">
        <w:rPr>
          <w:rFonts w:ascii="Times New Roman" w:eastAsia="MS Mincho" w:hAnsi="Times New Roman"/>
          <w:sz w:val="24"/>
          <w:lang w:val="en-GB" w:eastAsia="ja-JP"/>
        </w:rPr>
        <w:t xml:space="preserve"> </w:t>
      </w:r>
      <w:r w:rsidRPr="000723C2">
        <w:rPr>
          <w:rFonts w:ascii="Times New Roman" w:eastAsia="MS Mincho" w:hAnsi="Times New Roman"/>
          <w:bCs/>
          <w:sz w:val="24"/>
          <w:lang w:val="en-GB" w:eastAsia="ja-JP"/>
        </w:rPr>
        <w:t>Visualization of sequential interwinding filling with colored fluid.</w:t>
      </w:r>
    </w:p>
    <w:p w14:paraId="577ACF1F" w14:textId="77777777" w:rsidR="0017170C" w:rsidRPr="000723C2" w:rsidRDefault="0017170C" w:rsidP="00640FB7">
      <w:pPr>
        <w:spacing w:before="120" w:after="120"/>
        <w:rPr>
          <w:rFonts w:ascii="Times New Roman" w:hAnsi="Times New Roman"/>
          <w:b/>
          <w:bCs/>
          <w:sz w:val="24"/>
          <w:lang w:val="en-GB"/>
        </w:rPr>
      </w:pPr>
      <w:r w:rsidRPr="000723C2">
        <w:rPr>
          <w:rFonts w:ascii="Times New Roman" w:hAnsi="Times New Roman"/>
          <w:bCs/>
          <w:sz w:val="24"/>
          <w:lang w:val="en-GB"/>
        </w:rPr>
        <w:t xml:space="preserve">A colored dye visually enhances the demonstration of the sequential filling process, clearly showing the controlled progression of fluid through the interwinding channels one by one, confirming efficient fluidic access to the coiled architecture. </w:t>
      </w:r>
      <w:r w:rsidRPr="000723C2">
        <w:rPr>
          <w:rFonts w:ascii="Times New Roman" w:hAnsi="Times New Roman"/>
          <w:bCs/>
          <w:sz w:val="24"/>
        </w:rPr>
        <w:t>(Playback speed: 2x real-time)</w:t>
      </w:r>
    </w:p>
    <w:sectPr w:rsidR="0017170C" w:rsidRPr="000723C2" w:rsidSect="002A4E9D">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120E2" w14:textId="77777777" w:rsidR="00B901B1" w:rsidRDefault="00B901B1" w:rsidP="00A23F58">
      <w:r>
        <w:separator/>
      </w:r>
    </w:p>
  </w:endnote>
  <w:endnote w:type="continuationSeparator" w:id="0">
    <w:p w14:paraId="15CAB2A2" w14:textId="77777777" w:rsidR="00B901B1" w:rsidRDefault="00B901B1" w:rsidP="00A2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4108123"/>
      <w:docPartObj>
        <w:docPartGallery w:val="Page Numbers (Bottom of Page)"/>
        <w:docPartUnique/>
      </w:docPartObj>
    </w:sdtPr>
    <w:sdtEndPr/>
    <w:sdtContent>
      <w:p w14:paraId="0400FA0C" w14:textId="2C327462" w:rsidR="00A23F58" w:rsidRDefault="00A23F58" w:rsidP="00A23F58">
        <w:pPr>
          <w:pStyle w:val="Footer"/>
          <w:jc w:val="center"/>
        </w:pPr>
        <w:r w:rsidRPr="00A23F58">
          <w:rPr>
            <w:rFonts w:ascii="Times New Roman" w:hAnsi="Times New Roman" w:cs="Times New Roman"/>
            <w:sz w:val="24"/>
            <w:szCs w:val="24"/>
          </w:rPr>
          <w:t>S</w:t>
        </w:r>
        <w:r w:rsidRPr="00A23F58">
          <w:rPr>
            <w:rFonts w:ascii="Times New Roman" w:hAnsi="Times New Roman" w:cs="Times New Roman"/>
            <w:sz w:val="24"/>
            <w:szCs w:val="24"/>
          </w:rPr>
          <w:fldChar w:fldCharType="begin"/>
        </w:r>
        <w:r w:rsidRPr="00A23F58">
          <w:rPr>
            <w:rFonts w:ascii="Times New Roman" w:hAnsi="Times New Roman" w:cs="Times New Roman"/>
            <w:sz w:val="24"/>
            <w:szCs w:val="24"/>
          </w:rPr>
          <w:instrText>PAGE   \* MERGEFORMAT</w:instrText>
        </w:r>
        <w:r w:rsidRPr="00A23F58">
          <w:rPr>
            <w:rFonts w:ascii="Times New Roman" w:hAnsi="Times New Roman" w:cs="Times New Roman"/>
            <w:sz w:val="24"/>
            <w:szCs w:val="24"/>
          </w:rPr>
          <w:fldChar w:fldCharType="separate"/>
        </w:r>
        <w:r w:rsidR="000723C2" w:rsidRPr="000723C2">
          <w:rPr>
            <w:rFonts w:ascii="Times New Roman" w:hAnsi="Times New Roman" w:cs="Times New Roman"/>
            <w:noProof/>
            <w:sz w:val="24"/>
            <w:szCs w:val="24"/>
            <w:lang w:val="zh-CN"/>
          </w:rPr>
          <w:t>5</w:t>
        </w:r>
        <w:r w:rsidRPr="00A23F58">
          <w:rPr>
            <w:rFonts w:ascii="Times New Roman" w:hAnsi="Times New Roman" w:cs="Times New Roman"/>
            <w:sz w:val="24"/>
            <w:szCs w:val="24"/>
          </w:rPr>
          <w:fldChar w:fldCharType="end"/>
        </w:r>
        <w:r w:rsidRPr="00A23F58">
          <w:rPr>
            <w:rFonts w:ascii="Times New Roman" w:hAnsi="Times New Roman" w:cs="Times New Roman"/>
            <w:sz w:val="24"/>
            <w:szCs w:val="24"/>
          </w:rPr>
          <w:t>/S15</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4D18E" w14:textId="77777777" w:rsidR="00B901B1" w:rsidRDefault="00B901B1" w:rsidP="00A23F58">
      <w:r>
        <w:separator/>
      </w:r>
    </w:p>
  </w:footnote>
  <w:footnote w:type="continuationSeparator" w:id="0">
    <w:p w14:paraId="753D9793" w14:textId="77777777" w:rsidR="00B901B1" w:rsidRDefault="00B901B1" w:rsidP="00A23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F067D" w14:textId="37519A50" w:rsidR="00A23F58" w:rsidRPr="00A23F58" w:rsidRDefault="000723C2" w:rsidP="00A23F58">
    <w:pPr>
      <w:jc w:val="center"/>
      <w:rPr>
        <w:rFonts w:ascii="Times New Roman" w:hAnsi="Times New Roman" w:cs="Times New Roman"/>
        <w:sz w:val="24"/>
        <w:szCs w:val="24"/>
      </w:rPr>
    </w:pPr>
    <w:hyperlink r:id="rId1" w:history="1">
      <w:r w:rsidR="00A23F58" w:rsidRPr="00A23F58">
        <w:rPr>
          <w:rStyle w:val="Hyperlink"/>
          <w:rFonts w:ascii="Times New Roman" w:hAnsi="Times New Roman" w:cs="Times New Roman" w:hint="eastAsia"/>
          <w:sz w:val="24"/>
          <w:szCs w:val="24"/>
        </w:rPr>
        <w:t>N</w:t>
      </w:r>
      <w:r w:rsidR="00A23F58" w:rsidRPr="00A23F58">
        <w:rPr>
          <w:rStyle w:val="Hyperlink"/>
          <w:rFonts w:ascii="Times New Roman" w:hAnsi="Times New Roman" w:cs="Times New Roman"/>
          <w:sz w:val="24"/>
          <w:szCs w:val="24"/>
        </w:rPr>
        <w:t>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bordersDoNotSurroundHeader/>
  <w:bordersDoNotSurroundFooter/>
  <w:defaultTabStop w:val="42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70C"/>
    <w:rsid w:val="000723C2"/>
    <w:rsid w:val="0017170C"/>
    <w:rsid w:val="002C4F5F"/>
    <w:rsid w:val="00640FB7"/>
    <w:rsid w:val="009B0AE1"/>
    <w:rsid w:val="00A23F58"/>
    <w:rsid w:val="00AA0092"/>
    <w:rsid w:val="00B901B1"/>
    <w:rsid w:val="00CB2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1957"/>
  <w15:chartTrackingRefBased/>
  <w15:docId w15:val="{8CAE5D9F-C110-4445-A24A-BFAA69672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170C"/>
    <w:rPr>
      <w:b/>
      <w:bCs/>
    </w:rPr>
  </w:style>
  <w:style w:type="table" w:styleId="TableGrid">
    <w:name w:val="Table Grid"/>
    <w:basedOn w:val="TableNormal"/>
    <w:uiPriority w:val="39"/>
    <w:rsid w:val="0017170C"/>
    <w:rPr>
      <w:sz w:val="22"/>
      <w:lang w:val="de-DE"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3F5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A23F58"/>
    <w:rPr>
      <w:sz w:val="18"/>
      <w:szCs w:val="18"/>
    </w:rPr>
  </w:style>
  <w:style w:type="paragraph" w:styleId="Footer">
    <w:name w:val="footer"/>
    <w:basedOn w:val="Normal"/>
    <w:link w:val="FooterChar"/>
    <w:uiPriority w:val="99"/>
    <w:unhideWhenUsed/>
    <w:rsid w:val="00A23F5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A23F58"/>
    <w:rPr>
      <w:sz w:val="18"/>
      <w:szCs w:val="18"/>
    </w:rPr>
  </w:style>
  <w:style w:type="character" w:styleId="Hyperlink">
    <w:name w:val="Hyperlink"/>
    <w:basedOn w:val="DefaultParagraphFont"/>
    <w:uiPriority w:val="99"/>
    <w:unhideWhenUsed/>
    <w:rsid w:val="00A23F58"/>
    <w:rPr>
      <w:color w:val="0563C1" w:themeColor="hyperlink"/>
      <w:u w:val="single"/>
    </w:rPr>
  </w:style>
  <w:style w:type="character" w:customStyle="1" w:styleId="UnresolvedMention">
    <w:name w:val="Unresolved Mention"/>
    <w:basedOn w:val="DefaultParagraphFont"/>
    <w:uiPriority w:val="99"/>
    <w:semiHidden/>
    <w:unhideWhenUsed/>
    <w:rsid w:val="00A23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il.karnaushenko@main.tu-chemnitz.de"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0.jpeg"/><Relationship Id="rId7" Type="http://schemas.openxmlformats.org/officeDocument/2006/relationships/hyperlink" Target="mailto:minshen.zhu@main.tu-chemnitz.de"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mailto:aleksandr.egunov@main.tu-chemnitz.de" TargetMode="External"/><Relationship Id="rId11" Type="http://schemas.openxmlformats.org/officeDocument/2006/relationships/footer" Target="footer1.xml"/><Relationship Id="rId24" Type="http://schemas.openxmlformats.org/officeDocument/2006/relationships/image" Target="media/image13.jpeg"/><Relationship Id="rId5"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eader" Target="header1.xml"/><Relationship Id="rId19" Type="http://schemas.openxmlformats.org/officeDocument/2006/relationships/image" Target="media/image8.jpeg"/><Relationship Id="rId4" Type="http://schemas.openxmlformats.org/officeDocument/2006/relationships/footnotes" Target="footnotes.xml"/><Relationship Id="rId9" Type="http://schemas.openxmlformats.org/officeDocument/2006/relationships/hyperlink" Target="mailto:oliver.schmidt@main.tu-chemnitz.de"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5405</Words>
  <Characters>30811</Characters>
  <Application>Microsoft Office Word</Application>
  <DocSecurity>0</DocSecurity>
  <Lines>256</Lines>
  <Paragraphs>72</Paragraphs>
  <ScaleCrop>false</ScaleCrop>
  <Company/>
  <LinksUpToDate>false</LinksUpToDate>
  <CharactersWithSpaces>36144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dc:creator>
  <cp:keywords/>
  <dc:description/>
  <cp:lastModifiedBy>Priyanka R</cp:lastModifiedBy>
  <cp:revision>6</cp:revision>
  <dcterms:created xsi:type="dcterms:W3CDTF">2026-03-24T03:31:00Z</dcterms:created>
  <dcterms:modified xsi:type="dcterms:W3CDTF">2026-04-04T10:14:00Z</dcterms:modified>
</cp:coreProperties>
</file>